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9"/>
        <w:framePr w:wrap="around"/>
      </w:pPr>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0" w:name="ICS"/>
      <w:r>
        <w:instrText xml:space="preserve"> FORMTEXT </w:instrText>
      </w:r>
      <w:r>
        <w:fldChar w:fldCharType="separate"/>
      </w:r>
      <w:r>
        <w:rPr>
          <w:rFonts w:hint="eastAsia"/>
        </w:rPr>
        <w:t>71.100.70</w:t>
      </w:r>
      <w:r>
        <w:fldChar w:fldCharType="end"/>
      </w:r>
      <w:bookmarkEnd w:id="0"/>
    </w:p>
    <w:p>
      <w:pPr>
        <w:pStyle w:val="119"/>
        <w:framePr w:wrap="around"/>
      </w:pPr>
      <w:r>
        <w:fldChar w:fldCharType="begin">
          <w:ffData>
            <w:name w:val="WXFLH"/>
            <w:enabled/>
            <w:calcOnExit w:val="0"/>
            <w:helpText w:type="text" w:val="请输入中国标准文献分类号："/>
            <w:textInput>
              <w:default w:val="点击此处添加中国标准文献分类号"/>
            </w:textInput>
          </w:ffData>
        </w:fldChar>
      </w:r>
      <w:bookmarkStart w:id="1" w:name="WXFLH"/>
      <w:r>
        <w:instrText xml:space="preserve"> FORMTEXT </w:instrText>
      </w:r>
      <w:r>
        <w:fldChar w:fldCharType="separate"/>
      </w:r>
      <w:r>
        <w:rPr>
          <w:rFonts w:hint="eastAsia"/>
        </w:rPr>
        <w:t>Y 42</w:t>
      </w:r>
      <w:r>
        <w:fldChar w:fldCharType="end"/>
      </w:r>
      <w:bookmarkEnd w:id="1"/>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pPr>
              <w:pStyle w:val="119"/>
              <w:framePr w:wrap="around"/>
            </w:pPr>
            <w:r>
              <mc:AlternateContent>
                <mc:Choice Requires="wps">
                  <w:drawing>
                    <wp:anchor distT="0" distB="0" distL="114300" distR="114300" simplePos="0" relativeHeight="251663360" behindDoc="1" locked="0" layoutInCell="1" allowOverlap="1">
                      <wp:simplePos x="0" y="0"/>
                      <wp:positionH relativeFrom="column">
                        <wp:posOffset>-66675</wp:posOffset>
                      </wp:positionH>
                      <wp:positionV relativeFrom="paragraph">
                        <wp:posOffset>0</wp:posOffset>
                      </wp:positionV>
                      <wp:extent cx="866775" cy="198120"/>
                      <wp:effectExtent l="0" t="3810" r="4445" b="0"/>
                      <wp:wrapNone/>
                      <wp:docPr id="1857222198"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3120;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K4v7NUAAAAHAQAADwAAAAAAAAAB&#10;ACAAAAAiAAAAZHJzL2Rvd25yZXYueG1sUEsBAhQAFAAAAAgAh07iQMozRvITAgAAKQQAAA4AAAAA&#10;AAAAAQAgAAAAJAEAAGRycy9lMm9Eb2MueG1sUEsFBgAAAAAGAAYAWQEAAKkFA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62"/>
        <w:framePr w:wrap="around"/>
      </w:pPr>
      <w:r>
        <w:fldChar w:fldCharType="begin">
          <w:ffData>
            <w:name w:val="c1"/>
            <w:enabled/>
            <w:calcOnExit w:val="0"/>
            <w:textInput>
              <w:maxLength w:val="2"/>
            </w:textInput>
          </w:ffData>
        </w:fldChar>
      </w:r>
      <w:bookmarkStart w:id="3" w:name="c1"/>
      <w:r>
        <w:instrText xml:space="preserve"> FORMTEXT </w:instrText>
      </w:r>
      <w:r>
        <w:fldChar w:fldCharType="separate"/>
      </w:r>
      <w:r>
        <w:rPr>
          <w:rFonts w:hint="eastAsia"/>
        </w:rPr>
        <w:t>QB</w:t>
      </w:r>
      <w:r>
        <w:fldChar w:fldCharType="end"/>
      </w:r>
      <w:bookmarkEnd w:id="3"/>
    </w:p>
    <w:p>
      <w:pPr>
        <w:pStyle w:val="106"/>
        <w:framePr w:wrap="around"/>
        <w:rPr>
          <w:rFonts w:hint="eastAsia"/>
        </w:rPr>
      </w:pPr>
      <w:r>
        <w:rPr>
          <w:rFonts w:hint="eastAsia"/>
        </w:rPr>
        <w:t>中华人民共和国</w:t>
      </w:r>
      <w:r>
        <w:fldChar w:fldCharType="begin">
          <w:ffData>
            <w:name w:val="c2"/>
            <w:enabled/>
            <w:calcOnExit w:val="0"/>
            <w:textInput/>
          </w:ffData>
        </w:fldChar>
      </w:r>
      <w:bookmarkStart w:id="4" w:name="c2"/>
      <w:r>
        <w:instrText xml:space="preserve"> FORMTEXT </w:instrText>
      </w:r>
      <w:r>
        <w:fldChar w:fldCharType="separate"/>
      </w:r>
      <w:r>
        <w:rPr>
          <w:rFonts w:hint="eastAsia"/>
        </w:rPr>
        <w:t>轻工</w:t>
      </w:r>
      <w:r>
        <w:fldChar w:fldCharType="end"/>
      </w:r>
      <w:bookmarkEnd w:id="4"/>
      <w:r>
        <w:rPr>
          <w:rFonts w:hint="eastAsia"/>
        </w:rPr>
        <w:t>行业标准</w:t>
      </w:r>
    </w:p>
    <w:p>
      <w:pPr>
        <w:pStyle w:val="43"/>
        <w:framePr w:wrap="around"/>
        <w:rPr>
          <w:rFonts w:hint="eastAsia" w:hAnsi="黑体"/>
        </w:rPr>
      </w:pPr>
      <w:r>
        <w:rPr>
          <w:rFonts w:ascii="Times New Roman"/>
        </w:rPr>
        <w:fldChar w:fldCharType="begin">
          <w:ffData>
            <w:name w:val="StdNo0"/>
            <w:enabled/>
            <w:calcOnExit w:val="0"/>
            <w:textInput>
              <w:default w:val="XX"/>
              <w:maxLength w:val="2"/>
            </w:textInput>
          </w:ffData>
        </w:fldChar>
      </w:r>
      <w:bookmarkStart w:id="5" w:name="StdNo0"/>
      <w:r>
        <w:rPr>
          <w:rFonts w:ascii="Times New Roman"/>
        </w:rPr>
        <w:instrText xml:space="preserve"> FORMTEXT </w:instrText>
      </w:r>
      <w:r>
        <w:rPr>
          <w:rFonts w:ascii="Times New Roman"/>
        </w:rPr>
        <w:fldChar w:fldCharType="separate"/>
      </w:r>
      <w:r>
        <w:rPr>
          <w:rFonts w:hint="eastAsia" w:ascii="Times New Roman"/>
        </w:rPr>
        <w:t>QB</w:t>
      </w:r>
      <w:r>
        <w:rPr>
          <w:rFonts w:ascii="Times New Roman"/>
        </w:rPr>
        <w:fldChar w:fldCharType="end"/>
      </w:r>
      <w:bookmarkEnd w:id="5"/>
      <w:r>
        <w:rPr>
          <w:rFonts w:ascii="Times New Roman"/>
        </w:rPr>
        <w:t xml:space="preserve">/T </w:t>
      </w:r>
      <w:r>
        <w:rPr>
          <w:rFonts w:hint="eastAsia" w:hAnsi="黑体"/>
        </w:rPr>
        <w:fldChar w:fldCharType="begin">
          <w:ffData>
            <w:name w:val="StdNo1"/>
            <w:enabled/>
            <w:calcOnExit w:val="0"/>
            <w:textInput>
              <w:default w:val="XXXXX"/>
            </w:textInput>
          </w:ffData>
        </w:fldChar>
      </w:r>
      <w:bookmarkStart w:id="6" w:name="StdNo1"/>
      <w:r>
        <w:rPr>
          <w:rFonts w:hint="eastAsia" w:hAnsi="黑体"/>
        </w:rPr>
        <w:instrText xml:space="preserve"> FORMTEXT </w:instrText>
      </w:r>
      <w:r>
        <w:rPr>
          <w:rFonts w:hint="eastAsia" w:hAnsi="黑体"/>
        </w:rPr>
        <w:fldChar w:fldCharType="separate"/>
      </w:r>
      <w:r>
        <w:rPr>
          <w:rFonts w:hint="eastAsia" w:hAnsi="黑体"/>
        </w:rPr>
        <w:t>XXXXX</w:t>
      </w:r>
      <w:r>
        <w:rPr>
          <w:rFonts w:hint="eastAsia" w:hAnsi="黑体"/>
        </w:rPr>
        <w:fldChar w:fldCharType="end"/>
      </w:r>
      <w:bookmarkEnd w:id="6"/>
      <w:r>
        <w:rPr>
          <w:rFonts w:hint="eastAsia" w:hAnsi="黑体"/>
        </w:rPr>
        <w:t>—</w:t>
      </w:r>
      <w:r>
        <w:rPr>
          <w:rFonts w:hint="eastAsia" w:hAnsi="黑体"/>
        </w:rPr>
        <w:fldChar w:fldCharType="begin">
          <w:ffData>
            <w:name w:val="StdNo2"/>
            <w:enabled/>
            <w:calcOnExit w:val="0"/>
            <w:textInput>
              <w:default w:val="XXXX"/>
              <w:maxLength w:val="4"/>
            </w:textInput>
          </w:ffData>
        </w:fldChar>
      </w:r>
      <w:bookmarkStart w:id="7" w:name="StdNo2"/>
      <w:r>
        <w:rPr>
          <w:rFonts w:hint="eastAsia" w:hAnsi="黑体"/>
        </w:rPr>
        <w:instrText xml:space="preserve"> FORMTEXT </w:instrText>
      </w:r>
      <w:r>
        <w:rPr>
          <w:rFonts w:hint="eastAsia" w:hAnsi="黑体"/>
        </w:rPr>
        <w:fldChar w:fldCharType="separate"/>
      </w:r>
      <w:r>
        <w:rPr>
          <w:rFonts w:hint="eastAsia" w:hAnsi="黑体"/>
        </w:rPr>
        <w:t>XXXX</w:t>
      </w:r>
      <w:r>
        <w:rPr>
          <w:rFonts w:hint="eastAsia" w:hAnsi="黑体"/>
        </w:rPr>
        <w:fldChar w:fldCharType="end"/>
      </w:r>
      <w:bookmarkEnd w:id="7"/>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356" w:type="dxa"/>
            <w:tcBorders>
              <w:top w:val="nil"/>
              <w:left w:val="nil"/>
              <w:bottom w:val="nil"/>
              <w:right w:val="nil"/>
            </w:tcBorders>
            <w:shd w:val="clear" w:color="auto" w:fill="auto"/>
          </w:tcPr>
          <w:p>
            <w:pPr>
              <w:pStyle w:val="72"/>
              <w:framePr w:wrap="around"/>
            </w:pPr>
            <w:r>
              <mc:AlternateContent>
                <mc:Choice Requires="wps">
                  <w:drawing>
                    <wp:anchor distT="0" distB="0" distL="114300" distR="114300" simplePos="0" relativeHeight="251660288"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329226990"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6192;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B5g8svWAAAACAEAAA8AAAAAAAAAAQAg&#10;AAAAIgAAAGRycy9kb3ducmV2LnhtbFBLAQIUABQAAAAIAIdO4kAiQ5EIEAIAACgEAAAOAAAAAAAA&#10;AAEAIAAAACUBAABkcnMvZTJvRG9jLnhtbFBLBQYAAAAABgAGAFkBAACnBQAAAAA=&#10;">
                      <v:fill on="t" focussize="0,0"/>
                      <v:stroke on="f"/>
                      <v:imagedata o:title=""/>
                      <o:lock v:ext="edit" aspectratio="f"/>
                    </v:rect>
                  </w:pict>
                </mc:Fallback>
              </mc:AlternateContent>
            </w:r>
            <w:r>
              <w:rPr>
                <w:rFonts w:hint="eastAsia"/>
              </w:rPr>
              <w:fldChar w:fldCharType="begin">
                <w:ffData>
                  <w:name w:val="DT"/>
                  <w:enabled/>
                  <w:calcOnExit w:val="0"/>
                  <w:textInput/>
                </w:ffData>
              </w:fldChar>
            </w:r>
            <w:bookmarkStart w:id="8" w:name="DT"/>
            <w:r>
              <w:rPr>
                <w:rFonts w:hint="eastAsia"/>
              </w:rPr>
              <w:instrText xml:space="preserve"> FORMTEXT </w:instrText>
            </w:r>
            <w:r>
              <w:rPr>
                <w:rFonts w:hint="eastAsia"/>
              </w:rPr>
              <w:fldChar w:fldCharType="separate"/>
            </w:r>
            <w:r>
              <w:t>     </w:t>
            </w:r>
            <w:r>
              <w:rPr>
                <w:rFonts w:hint="eastAsia"/>
              </w:rPr>
              <w:fldChar w:fldCharType="end"/>
            </w:r>
            <w:bookmarkEnd w:id="8"/>
          </w:p>
        </w:tc>
      </w:tr>
    </w:tbl>
    <w:p>
      <w:pPr>
        <w:pStyle w:val="43"/>
        <w:framePr w:wrap="around"/>
        <w:rPr>
          <w:rFonts w:hint="eastAsia" w:hAnsi="黑体"/>
        </w:rPr>
      </w:pPr>
    </w:p>
    <w:p>
      <w:pPr>
        <w:pStyle w:val="43"/>
        <w:framePr w:wrap="around"/>
        <w:rPr>
          <w:rFonts w:hint="eastAsia" w:hAnsi="黑体"/>
        </w:rPr>
      </w:pPr>
    </w:p>
    <w:p>
      <w:pPr>
        <w:pStyle w:val="74"/>
        <w:framePr w:wrap="around"/>
      </w:pPr>
      <w:r>
        <w:rPr>
          <w:rFonts w:hint="eastAsia"/>
        </w:rPr>
        <w:fldChar w:fldCharType="begin">
          <w:ffData>
            <w:name w:val="StdName"/>
            <w:enabled/>
            <w:calcOnExit w:val="0"/>
            <w:textInput>
              <w:default w:val="点击此处添加标准名称"/>
            </w:textInput>
          </w:ffData>
        </w:fldChar>
      </w:r>
      <w:bookmarkStart w:id="9" w:name="StdName"/>
      <w:r>
        <w:rPr>
          <w:rFonts w:hint="eastAsia"/>
        </w:rPr>
        <w:instrText xml:space="preserve"> FORMTEXT </w:instrText>
      </w:r>
      <w:r>
        <w:rPr>
          <w:rFonts w:hint="eastAsia"/>
        </w:rPr>
        <w:fldChar w:fldCharType="separate"/>
      </w:r>
      <w:r>
        <w:rPr>
          <w:rFonts w:hint="eastAsia"/>
        </w:rPr>
        <w:t>化妆品用海盐</w:t>
      </w:r>
      <w:r>
        <w:rPr>
          <w:rFonts w:hint="eastAsia"/>
        </w:rPr>
        <w:fldChar w:fldCharType="end"/>
      </w:r>
      <w:bookmarkEnd w:id="9"/>
    </w:p>
    <w:p>
      <w:pPr>
        <w:pStyle w:val="75"/>
        <w:framePr w:wrap="around"/>
      </w:pPr>
      <w:r>
        <w:fldChar w:fldCharType="begin">
          <w:ffData>
            <w:name w:val="StdEnglishName"/>
            <w:enabled/>
            <w:calcOnExit w:val="0"/>
            <w:textInput>
              <w:default w:val="点击此处添加标准英文译名"/>
            </w:textInput>
          </w:ffData>
        </w:fldChar>
      </w:r>
      <w:bookmarkStart w:id="10" w:name="StdEnglishName"/>
      <w:r>
        <w:instrText xml:space="preserve"> FORMTEXT </w:instrText>
      </w:r>
      <w:r>
        <w:fldChar w:fldCharType="separate"/>
      </w:r>
      <w:r>
        <w:rPr>
          <w:rFonts w:hint="eastAsia"/>
        </w:rPr>
        <w:t>Sodium chloride for cosmetic use</w:t>
      </w:r>
      <w:r>
        <w:fldChar w:fldCharType="end"/>
      </w:r>
      <w:bookmarkEnd w:id="10"/>
    </w:p>
    <w:p>
      <w:pPr>
        <w:pStyle w:val="76"/>
        <w:framePr w:wrap="around"/>
      </w:pPr>
      <w:r>
        <w:fldChar w:fldCharType="begin">
          <w:ffData>
            <w:name w:val="YZBS"/>
            <w:enabled/>
            <w:calcOnExit w:val="0"/>
            <w:textInput>
              <w:default w:val="点击此处添加与国际标准一致性程度的标识"/>
            </w:textInput>
          </w:ffData>
        </w:fldChar>
      </w:r>
      <w:bookmarkStart w:id="11" w:name="YZBS"/>
      <w:r>
        <w:instrText xml:space="preserve"> FORMTEXT </w:instrText>
      </w:r>
      <w:r>
        <w:fldChar w:fldCharType="separate"/>
      </w:r>
      <w:r>
        <w:t>     </w:t>
      </w:r>
      <w:r>
        <w:fldChar w:fldCharType="end"/>
      </w:r>
      <w:bookmarkEnd w:id="11"/>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7"/>
              <w:framePr w:wrap="around"/>
            </w:pPr>
            <w:r>
              <mc:AlternateContent>
                <mc:Choice Requires="wps">
                  <w:drawing>
                    <wp:anchor distT="0" distB="0" distL="114300" distR="114300" simplePos="0" relativeHeight="251662336" behindDoc="1" locked="1" layoutInCell="1" allowOverlap="1">
                      <wp:simplePos x="0" y="0"/>
                      <wp:positionH relativeFrom="column">
                        <wp:posOffset>2200910</wp:posOffset>
                      </wp:positionH>
                      <wp:positionV relativeFrom="paragraph">
                        <wp:posOffset>573405</wp:posOffset>
                      </wp:positionV>
                      <wp:extent cx="1905000" cy="254000"/>
                      <wp:effectExtent l="0" t="0" r="3175" b="3175"/>
                      <wp:wrapNone/>
                      <wp:docPr id="1581716470"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4144;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BYmuktUAAAAKAQAADwAAAAAAAAABACAA&#10;AAAiAAAAZHJzL2Rvd25yZXYueG1sUEsBAhQAFAAAAAgAh07iQIXHxR4QAgAAKQQAAA4AAAAAAAAA&#10;AQAgAAAAJAEAAGRycy9lMm9Eb2MueG1sUEsFBgAAAAAGAAYAWQEAAKYFAAAAAA==&#10;">
                      <v:fill on="t" focussize="0,0"/>
                      <v:stroke on="f"/>
                      <v:imagedata o:title=""/>
                      <o:lock v:ext="edit" aspectratio="f"/>
                      <w10:anchorlock/>
                    </v:rect>
                  </w:pict>
                </mc:Fallback>
              </mc:AlternateContent>
            </w:r>
            <w:r>
              <mc:AlternateContent>
                <mc:Choice Requires="wps">
                  <w:drawing>
                    <wp:anchor distT="0" distB="0" distL="114300" distR="114300" simplePos="0" relativeHeight="251661312" behindDoc="1" locked="0" layoutInCell="1" allowOverlap="1">
                      <wp:simplePos x="0" y="0"/>
                      <wp:positionH relativeFrom="column">
                        <wp:posOffset>2454910</wp:posOffset>
                      </wp:positionH>
                      <wp:positionV relativeFrom="paragraph">
                        <wp:posOffset>255905</wp:posOffset>
                      </wp:positionV>
                      <wp:extent cx="1270000" cy="304800"/>
                      <wp:effectExtent l="3175" t="0" r="3175" b="3175"/>
                      <wp:wrapNone/>
                      <wp:docPr id="1357186437"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5168;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D4Yvl1gAAAAkBAAAPAAAAAAAAAAEA&#10;IAAAACIAAABkcnMvZG93bnJldi54bWxQSwECFAAUAAAACACHTuJAFIANdRECAAApBAAADgAAAAAA&#10;AAABACAAAAAlAQAAZHJzL2Uyb0RvYy54bWxQSwUGAAAAAAYABgBZAQAAqAUAAAAA&#10;">
                      <v:fill on="t" focussize="0,0"/>
                      <v:stroke on="f"/>
                      <v:imagedata o:title=""/>
                      <o:lock v:ext="edit" aspectratio="f"/>
                    </v:rect>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instrText xml:space="preserve"> FORMDROPDOWN </w:instrText>
            </w:r>
            <w:r>
              <w:fldChar w:fldCharType="separate"/>
            </w:r>
            <w:r>
              <w:fldChar w:fldCharType="end"/>
            </w:r>
            <w:bookmarkEnd w:id="1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8"/>
              <w:framePr w:wrap="around"/>
            </w:pPr>
            <w:r>
              <w:fldChar w:fldCharType="begin">
                <w:ffData>
                  <w:name w:val="WCRQ"/>
                  <w:enabled/>
                  <w:calcOnExit w:val="0"/>
                  <w:textInput/>
                </w:ffData>
              </w:fldChar>
            </w:r>
            <w:bookmarkStart w:id="13" w:name="WCRQ"/>
            <w:r>
              <w:instrText xml:space="preserve"> FORMTEXT </w:instrText>
            </w:r>
            <w:r>
              <w:fldChar w:fldCharType="separate"/>
            </w:r>
            <w:r>
              <w:t>     </w:t>
            </w:r>
            <w:r>
              <w:fldChar w:fldCharType="end"/>
            </w:r>
            <w:bookmarkEnd w:id="13"/>
          </w:p>
        </w:tc>
      </w:tr>
    </w:tbl>
    <w:p>
      <w:pPr>
        <w:pStyle w:val="126"/>
        <w:framePr w:w="9637" w:wrap="around" w:hAnchor="page" w:x="1421" w:y="14631"/>
        <w:ind w:right="-5638" w:rightChars="-2685"/>
      </w:pPr>
      <w:r>
        <w:rPr>
          <w:rFonts w:ascii="黑体"/>
        </w:rPr>
        <w:fldChar w:fldCharType="begin">
          <w:ffData>
            <w:name w:val="FY"/>
            <w:enabled/>
            <w:calcOnExit w:val="0"/>
            <w:textInput>
              <w:default w:val="XXXX"/>
              <w:maxLength w:val="4"/>
            </w:textInput>
          </w:ffData>
        </w:fldChar>
      </w:r>
      <w:bookmarkStart w:id="14" w:name="F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D"/>
            <w:enabled/>
            <w:calcOnExit w:val="0"/>
            <w:textInput>
              <w:default w:val="XX"/>
              <w:maxLength w:val="2"/>
            </w:textInput>
          </w:ffData>
        </w:fldChar>
      </w:r>
      <w:bookmarkStart w:id="15" w:name="F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27"/>
        <w:framePr w:wrap="around" w:hAnchor="page" w:x="7041" w:y="14641"/>
      </w:pPr>
      <w:r>
        <w:rPr>
          <w:rFonts w:ascii="黑体"/>
        </w:rPr>
        <w:fldChar w:fldCharType="begin">
          <w:ffData>
            <w:name w:val="SY"/>
            <w:enabled/>
            <w:calcOnExit w:val="0"/>
            <w:textInput>
              <w:default w:val="XXXX"/>
              <w:maxLength w:val="4"/>
            </w:textInput>
          </w:ffData>
        </w:fldChar>
      </w:r>
      <w:bookmarkStart w:id="16" w:name="S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SM"/>
            <w:enabled/>
            <w:calcOnExit w:val="0"/>
            <w:textInput>
              <w:default w:val="XX"/>
              <w:maxLength w:val="2"/>
            </w:textInput>
          </w:ffData>
        </w:fldChar>
      </w:r>
      <w:bookmarkStart w:id="17" w:name="S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SD"/>
            <w:enabled/>
            <w:calcOnExit w:val="0"/>
            <w:textInput>
              <w:default w:val="XX"/>
              <w:maxLength w:val="2"/>
            </w:textInput>
          </w:ffData>
        </w:fldChar>
      </w:r>
      <w:bookmarkStart w:id="18" w:name="S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07"/>
        <w:framePr w:wrap="around"/>
      </w:pPr>
      <w:r>
        <w:fldChar w:fldCharType="begin">
          <w:ffData>
            <w:name w:val="fm"/>
            <w:enabled/>
            <w:calcOnExit w:val="0"/>
            <w:textInput/>
          </w:ffData>
        </w:fldChar>
      </w:r>
      <w:bookmarkStart w:id="19" w:name="fm"/>
      <w:r>
        <w:instrText xml:space="preserve"> FORMTEXT </w:instrText>
      </w:r>
      <w:r>
        <w:fldChar w:fldCharType="separate"/>
      </w:r>
      <w:r>
        <w:rPr>
          <w:rFonts w:hint="eastAsia"/>
        </w:rPr>
        <w:t>中华人民共和国工业和信息化部</w:t>
      </w:r>
      <w:r>
        <w:fldChar w:fldCharType="end"/>
      </w:r>
      <w:bookmarkEnd w:id="19"/>
      <w:r>
        <w:rPr>
          <w:rFonts w:hAnsi="黑体"/>
        </w:rPr>
        <w:t>   </w:t>
      </w:r>
      <w:r>
        <w:rPr>
          <w:rStyle w:val="69"/>
          <w:rFonts w:hint="eastAsia"/>
        </w:rPr>
        <w:t>发布</w:t>
      </w:r>
    </w:p>
    <w:p>
      <w:pPr>
        <w:pStyle w:val="21"/>
        <w:sectPr>
          <w:pgSz w:w="11906" w:h="16838"/>
          <w:pgMar w:top="567" w:right="850" w:bottom="1134" w:left="1418" w:header="0" w:footer="0" w:gutter="0"/>
          <w:pgNumType w:start="1"/>
          <w:cols w:space="425" w:num="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5715</wp:posOffset>
                </wp:positionH>
                <wp:positionV relativeFrom="paragraph">
                  <wp:posOffset>9293225</wp:posOffset>
                </wp:positionV>
                <wp:extent cx="6120130" cy="0"/>
                <wp:effectExtent l="10795" t="13970" r="12700" b="5080"/>
                <wp:wrapNone/>
                <wp:docPr id="1505167355" name="Line 19"/>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9" o:spid="_x0000_s1026" o:spt="20" style="position:absolute;left:0pt;margin-left:0.45pt;margin-top:731.75pt;height:0pt;width:481.9pt;z-index:251664384;mso-width-relative:page;mso-height-relative:page;" filled="f" stroked="t" coordsize="21600,21600" o:gfxdata="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KN4fJPWAAAACgEAAA8AAAAAAAAAAQAgAAAAIgAA&#10;AGRycy9kb3ducmV2LnhtbFBLAQIUABQAAAAIAIdO4kA1cSvc0QEAAKkDAAAOAAAAAAAAAAEAIAAA&#10;ACUBAABkcnMvZTJvRG9jLnhtbFBLBQYAAAAABgAGAFkBAABo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2339975</wp:posOffset>
                </wp:positionV>
                <wp:extent cx="6120130" cy="0"/>
                <wp:effectExtent l="13970" t="13970" r="9525" b="5080"/>
                <wp:wrapNone/>
                <wp:docPr id="1552940613" name="Line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0.05pt;margin-top:184.25pt;height:0pt;width:481.9pt;z-index:25165926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CQeJf1wAAAAkBAAAPAAAAAAAAAAEAIAAAACIA&#10;AABkcnMvZG93bnJldi54bWxQSwECFAAUAAAACACHTuJAWDfO3dEBAACpAwAADgAAAAAAAAABACAA&#10;AAAmAQAAZHJzL2Uyb0RvYy54bWxQSwUGAAAAAAYABgBZAQAAaQUAAAAA&#10;">
                <v:fill on="f" focussize="0,0"/>
                <v:stroke color="#000000" joinstyle="round"/>
                <v:imagedata o:title=""/>
                <o:lock v:ext="edit" aspectratio="f"/>
              </v:line>
            </w:pict>
          </mc:Fallback>
        </mc:AlternateContent>
      </w:r>
    </w:p>
    <w:p>
      <w:pPr>
        <w:pStyle w:val="108"/>
      </w:pPr>
      <w:bookmarkStart w:id="20" w:name="_Toc168040324"/>
      <w:r>
        <w:rPr>
          <w:rFonts w:hint="eastAsia"/>
        </w:rPr>
        <w:t>前</w:t>
      </w:r>
      <w:bookmarkStart w:id="21" w:name="BKQY"/>
      <w:r>
        <w:rPr>
          <w:rFonts w:hAnsi="黑体"/>
        </w:rPr>
        <w:t>  </w:t>
      </w:r>
      <w:r>
        <w:rPr>
          <w:rFonts w:hint="eastAsia"/>
        </w:rPr>
        <w:t>言</w:t>
      </w:r>
      <w:bookmarkEnd w:id="20"/>
      <w:bookmarkEnd w:id="21"/>
    </w:p>
    <w:p>
      <w:pPr>
        <w:pStyle w:val="134"/>
        <w:ind w:firstLine="420"/>
      </w:pPr>
      <w:r>
        <w:rPr>
          <w:rFonts w:hint="eastAsia"/>
        </w:rPr>
        <w:t>本文件按照GB/T 1.1—2020《标准化工作导则 第1部分：标准化文件的结构和起草规则》的规定起草。</w:t>
      </w:r>
    </w:p>
    <w:p>
      <w:pPr>
        <w:pStyle w:val="134"/>
        <w:ind w:firstLine="420"/>
      </w:pPr>
      <w:r>
        <w:rPr>
          <w:rFonts w:hint="eastAsia"/>
        </w:rPr>
        <w:t>本文件由中国轻工业联合会提出。</w:t>
      </w:r>
    </w:p>
    <w:p>
      <w:pPr>
        <w:pStyle w:val="134"/>
        <w:ind w:firstLine="420"/>
      </w:pPr>
      <w:r>
        <w:rPr>
          <w:rFonts w:hint="eastAsia"/>
        </w:rPr>
        <w:t>本文件由全国盐业标准化技术委员会（SAC/TC 295）归口。</w:t>
      </w:r>
    </w:p>
    <w:p>
      <w:pPr>
        <w:pStyle w:val="134"/>
        <w:ind w:firstLine="420"/>
      </w:pPr>
      <w:r>
        <w:rPr>
          <w:rFonts w:hint="eastAsia"/>
        </w:rPr>
        <w:t>本文件起草单位：</w:t>
      </w:r>
      <w:bookmarkStart w:id="22" w:name="OLE_LINK1"/>
      <w:r>
        <w:rPr>
          <w:rFonts w:hint="eastAsia" w:hAnsi="宋体"/>
        </w:rPr>
        <w:t>浙江蓝海星盐制品有限公司</w:t>
      </w:r>
      <w:bookmarkEnd w:id="22"/>
      <w:r>
        <w:rPr>
          <w:rFonts w:hint="eastAsia" w:hAnsi="宋体"/>
        </w:rPr>
        <w:t>、国盐检测（天津）有限责任公司、浙江浩迈化妆品有限公司、浙江省盐业集团台州市盐业配送有限公司、浙江省化妆品协会</w:t>
      </w:r>
      <w:r>
        <w:rPr>
          <w:rFonts w:hint="eastAsia"/>
        </w:rPr>
        <w:t>。</w:t>
      </w:r>
    </w:p>
    <w:p>
      <w:pPr>
        <w:pStyle w:val="134"/>
        <w:ind w:firstLine="420"/>
      </w:pPr>
      <w:r>
        <w:rPr>
          <w:rFonts w:hint="eastAsia"/>
        </w:rPr>
        <w:t>本文件主要起草人：</w:t>
      </w:r>
    </w:p>
    <w:p>
      <w:pPr>
        <w:pStyle w:val="134"/>
        <w:ind w:firstLine="420"/>
      </w:pPr>
      <w:r>
        <w:rPr>
          <w:rFonts w:hint="eastAsia"/>
        </w:rPr>
        <w:t>本文件为首次发布。</w:t>
      </w:r>
      <w:bookmarkStart w:id="26" w:name="_GoBack"/>
      <w:bookmarkEnd w:id="26"/>
    </w:p>
    <w:p>
      <w:pPr>
        <w:pStyle w:val="46"/>
      </w:pPr>
      <w:r>
        <w:rPr>
          <w:rFonts w:hint="eastAsia"/>
        </w:rPr>
        <w:t>化妆品用海盐</w:t>
      </w:r>
    </w:p>
    <w:p>
      <w:pPr>
        <w:pStyle w:val="41"/>
      </w:pPr>
      <w:r>
        <w:rPr>
          <w:rFonts w:hint="eastAsia"/>
        </w:rPr>
        <w:t>范围</w:t>
      </w:r>
    </w:p>
    <w:p>
      <w:pPr>
        <w:pStyle w:val="21"/>
      </w:pPr>
      <w:r>
        <w:rPr>
          <w:rFonts w:hint="eastAsia"/>
        </w:rPr>
        <w:t>本标准规定了化妆品用海盐的要求、试验方法、检验规则、标签、包装、运输、贮存。</w:t>
      </w:r>
    </w:p>
    <w:p>
      <w:pPr>
        <w:pStyle w:val="21"/>
      </w:pPr>
      <w:r>
        <w:rPr>
          <w:rFonts w:hint="eastAsia"/>
        </w:rPr>
        <w:t>本标准适用于以海水（含沿海地下卤水）为起始原料，经过自然蒸发结晶、真空蒸发结晶、或机械热压缩蒸发结晶的工艺制得或再深加工的海盐，作为化妆品用原料。</w:t>
      </w:r>
    </w:p>
    <w:p>
      <w:pPr>
        <w:pStyle w:val="41"/>
      </w:pPr>
      <w:r>
        <w:rPr>
          <w:rFonts w:hint="eastAsia"/>
        </w:rPr>
        <w:t>规范性引用文件</w:t>
      </w:r>
    </w:p>
    <w:p>
      <w:pPr>
        <w:pStyle w:val="21"/>
        <w:rPr>
          <w:rFonts w:ascii="Calibri" w:hAnsi="Calibri"/>
          <w:kern w:val="2"/>
          <w:szCs w:val="21"/>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1"/>
        <w:spacing w:line="240" w:lineRule="atLeast"/>
      </w:pPr>
      <w:r>
        <w:rPr>
          <w:rFonts w:hint="eastAsia"/>
        </w:rPr>
        <w:t>GB/T 191  包装储运图示标志</w:t>
      </w:r>
    </w:p>
    <w:p>
      <w:pPr>
        <w:pStyle w:val="21"/>
        <w:rPr>
          <w:color w:val="000000"/>
        </w:rPr>
      </w:pPr>
      <w:r>
        <w:rPr>
          <w:rFonts w:hint="eastAsia"/>
        </w:rPr>
        <w:t>GB 5009.11</w:t>
      </w:r>
      <w:r>
        <w:t xml:space="preserve">  </w:t>
      </w:r>
      <w:r>
        <w:rPr>
          <w:rFonts w:hint="eastAsia"/>
        </w:rPr>
        <w:t xml:space="preserve">食品安全国家标准 </w:t>
      </w:r>
      <w:r>
        <w:rPr>
          <w:rFonts w:hint="eastAsia"/>
          <w:color w:val="000000"/>
        </w:rPr>
        <w:t>食品中总砷及无机砷的测定</w:t>
      </w:r>
    </w:p>
    <w:p>
      <w:pPr>
        <w:pStyle w:val="21"/>
      </w:pPr>
      <w:r>
        <w:rPr>
          <w:rFonts w:hint="eastAsia"/>
        </w:rPr>
        <w:t>GB 5009.12</w:t>
      </w:r>
      <w:r>
        <w:t xml:space="preserve">  </w:t>
      </w:r>
      <w:r>
        <w:rPr>
          <w:rFonts w:hint="eastAsia"/>
        </w:rPr>
        <w:t>食品安全国家标准 食品中铅的测定</w:t>
      </w:r>
    </w:p>
    <w:p>
      <w:pPr>
        <w:pStyle w:val="21"/>
        <w:rPr>
          <w:color w:val="000000"/>
        </w:rPr>
      </w:pPr>
      <w:r>
        <w:t>GB 5009.1</w:t>
      </w:r>
      <w:r>
        <w:rPr>
          <w:rFonts w:hint="eastAsia"/>
        </w:rPr>
        <w:t xml:space="preserve">5 </w:t>
      </w:r>
      <w:r>
        <w:t xml:space="preserve"> </w:t>
      </w:r>
      <w:r>
        <w:rPr>
          <w:rFonts w:hint="eastAsia"/>
        </w:rPr>
        <w:t xml:space="preserve">食品安全国家标准 </w:t>
      </w:r>
      <w:r>
        <w:rPr>
          <w:rFonts w:hint="eastAsia"/>
          <w:color w:val="000000"/>
        </w:rPr>
        <w:t>食品中镉的测定</w:t>
      </w:r>
    </w:p>
    <w:p>
      <w:pPr>
        <w:pStyle w:val="21"/>
        <w:rPr>
          <w:color w:val="000000"/>
        </w:rPr>
      </w:pPr>
      <w:r>
        <w:rPr>
          <w:color w:val="000000"/>
        </w:rPr>
        <w:t>GB 5009.1</w:t>
      </w:r>
      <w:r>
        <w:rPr>
          <w:rFonts w:hint="eastAsia"/>
          <w:color w:val="000000"/>
        </w:rPr>
        <w:t>7</w:t>
      </w:r>
      <w:r>
        <w:rPr>
          <w:color w:val="000000"/>
        </w:rPr>
        <w:t xml:space="preserve">  </w:t>
      </w:r>
      <w:r>
        <w:rPr>
          <w:rFonts w:hint="eastAsia"/>
        </w:rPr>
        <w:t xml:space="preserve">食品安全国家标准 </w:t>
      </w:r>
      <w:r>
        <w:rPr>
          <w:rFonts w:hint="eastAsia"/>
          <w:color w:val="000000"/>
        </w:rPr>
        <w:t>食品中总汞及有机汞的测定</w:t>
      </w:r>
    </w:p>
    <w:p>
      <w:pPr>
        <w:pStyle w:val="21"/>
      </w:pPr>
      <w:r>
        <w:rPr>
          <w:color w:val="000000"/>
        </w:rPr>
        <w:t>G</w:t>
      </w:r>
      <w:r>
        <w:rPr>
          <w:rFonts w:hint="eastAsia"/>
          <w:color w:val="000000"/>
        </w:rPr>
        <w:t xml:space="preserve">B/T </w:t>
      </w:r>
      <w:r>
        <w:rPr>
          <w:color w:val="000000"/>
        </w:rPr>
        <w:t>8618</w:t>
      </w:r>
      <w:r>
        <w:rPr>
          <w:rFonts w:hint="eastAsia"/>
          <w:color w:val="000000"/>
        </w:rPr>
        <w:t xml:space="preserve"> </w:t>
      </w:r>
      <w:r>
        <w:rPr>
          <w:color w:val="000000"/>
        </w:rPr>
        <w:t xml:space="preserve"> </w:t>
      </w:r>
      <w:r>
        <w:rPr>
          <w:rFonts w:hint="eastAsia"/>
          <w:color w:val="000000"/>
        </w:rPr>
        <w:t>制盐工业主要产品取样方法</w:t>
      </w:r>
    </w:p>
    <w:p>
      <w:pPr>
        <w:pStyle w:val="21"/>
        <w:spacing w:line="240" w:lineRule="atLeast"/>
      </w:pPr>
      <w:r>
        <w:t>GB/T 13025.</w:t>
      </w:r>
      <w:r>
        <w:rPr>
          <w:rFonts w:hint="eastAsia"/>
        </w:rPr>
        <w:t>3-2012</w:t>
      </w:r>
      <w:r>
        <w:t xml:space="preserve">  制盐工业通用试验方法 水</w:t>
      </w:r>
      <w:r>
        <w:rPr>
          <w:rFonts w:hint="eastAsia"/>
        </w:rPr>
        <w:t>分</w:t>
      </w:r>
      <w:r>
        <w:t>的测定</w:t>
      </w:r>
    </w:p>
    <w:p>
      <w:pPr>
        <w:pStyle w:val="21"/>
        <w:spacing w:line="240" w:lineRule="atLeast"/>
      </w:pPr>
      <w:r>
        <w:t>GB/T 13025.4  制盐工业通用试验方法 水不溶物的测定</w:t>
      </w:r>
    </w:p>
    <w:p>
      <w:pPr>
        <w:pStyle w:val="21"/>
        <w:spacing w:line="240" w:lineRule="atLeast"/>
      </w:pPr>
      <w:r>
        <w:t>GB/T 13025.5  制盐工业通用试验方法 氯离子的测定</w:t>
      </w:r>
    </w:p>
    <w:p>
      <w:pPr>
        <w:pStyle w:val="21"/>
        <w:spacing w:line="240" w:lineRule="atLeast"/>
      </w:pPr>
      <w:r>
        <w:t xml:space="preserve">GB/T 13025.6  制盐工业通用试验方法 </w:t>
      </w:r>
      <w:r>
        <w:rPr>
          <w:rFonts w:hint="eastAsia"/>
        </w:rPr>
        <w:t>钙和</w:t>
      </w:r>
      <w:r>
        <w:t>镁的测定</w:t>
      </w:r>
    </w:p>
    <w:p>
      <w:pPr>
        <w:pStyle w:val="21"/>
        <w:spacing w:line="240" w:lineRule="atLeast"/>
      </w:pPr>
      <w:r>
        <w:t>GB/T 13025.</w:t>
      </w:r>
      <w:r>
        <w:rPr>
          <w:rFonts w:hint="eastAsia"/>
        </w:rPr>
        <w:t>8</w:t>
      </w:r>
      <w:r>
        <w:t xml:space="preserve">  制盐工业通用试验方法 </w:t>
      </w:r>
      <w:r>
        <w:rPr>
          <w:rFonts w:hint="eastAsia"/>
        </w:rPr>
        <w:t>硫酸根</w:t>
      </w:r>
      <w:r>
        <w:t>的测定</w:t>
      </w:r>
    </w:p>
    <w:p>
      <w:pPr>
        <w:pStyle w:val="21"/>
        <w:spacing w:line="240" w:lineRule="atLeast"/>
      </w:pPr>
      <w:r>
        <w:t>GB</w:t>
      </w:r>
      <w:r>
        <w:rPr>
          <w:rFonts w:hint="eastAsia"/>
        </w:rPr>
        <w:t>/T</w:t>
      </w:r>
      <w:r>
        <w:t xml:space="preserve"> 13025.9  制盐工业通用试验方法 铅的测定</w:t>
      </w:r>
    </w:p>
    <w:p>
      <w:pPr>
        <w:pStyle w:val="21"/>
        <w:spacing w:line="240" w:lineRule="atLeast"/>
      </w:pPr>
      <w:r>
        <w:t xml:space="preserve">GB/T 13025.13 </w:t>
      </w:r>
      <w:r>
        <w:rPr>
          <w:rFonts w:hint="eastAsia"/>
        </w:rPr>
        <w:t xml:space="preserve"> </w:t>
      </w:r>
      <w:r>
        <w:t>制盐工业通用试验方法</w:t>
      </w:r>
      <w:r>
        <w:rPr>
          <w:rFonts w:hint="eastAsia"/>
        </w:rPr>
        <w:t xml:space="preserve"> </w:t>
      </w:r>
      <w:r>
        <w:t>砷的测定</w:t>
      </w:r>
    </w:p>
    <w:p>
      <w:pPr>
        <w:pStyle w:val="21"/>
        <w:spacing w:line="240" w:lineRule="atLeast"/>
      </w:pPr>
      <w:r>
        <w:t xml:space="preserve">GB/T 13531.1 </w:t>
      </w:r>
      <w:r>
        <w:rPr>
          <w:rFonts w:hint="eastAsia"/>
        </w:rPr>
        <w:t xml:space="preserve"> </w:t>
      </w:r>
      <w:r>
        <w:t>化妆品通用检验方法 pH值的测定</w:t>
      </w:r>
    </w:p>
    <w:p>
      <w:pPr>
        <w:pStyle w:val="41"/>
        <w:spacing w:line="360" w:lineRule="auto"/>
      </w:pPr>
      <w:r>
        <w:rPr>
          <w:rFonts w:hint="eastAsia"/>
        </w:rPr>
        <w:t>术语和定义</w:t>
      </w:r>
    </w:p>
    <w:p>
      <w:pPr>
        <w:pStyle w:val="21"/>
        <w:rPr>
          <w:szCs w:val="21"/>
        </w:rPr>
      </w:pPr>
      <w:r>
        <w:rPr>
          <w:rFonts w:hint="eastAsia"/>
          <w:szCs w:val="21"/>
        </w:rPr>
        <w:t>本文件没有需要界定的术语和定义。</w:t>
      </w:r>
    </w:p>
    <w:p>
      <w:pPr>
        <w:pStyle w:val="41"/>
      </w:pPr>
      <w:r>
        <w:rPr>
          <w:rFonts w:hint="eastAsia"/>
        </w:rPr>
        <w:t>产品化学名称、INCI名称、分子式、CAS号、相对分子质量</w:t>
      </w:r>
    </w:p>
    <w:p>
      <w:pPr>
        <w:pStyle w:val="44"/>
      </w:pPr>
      <w:r>
        <w:rPr>
          <w:rFonts w:hint="eastAsia"/>
        </w:rPr>
        <w:t>化学名称：海盐</w:t>
      </w:r>
    </w:p>
    <w:p>
      <w:pPr>
        <w:pStyle w:val="44"/>
      </w:pPr>
      <w:r>
        <w:rPr>
          <w:rFonts w:hint="eastAsia"/>
        </w:rPr>
        <w:t>INCI名称：</w:t>
      </w:r>
      <w:r>
        <w:t>MARIS SAL</w:t>
      </w:r>
      <w:r>
        <w:rPr>
          <w:rFonts w:hint="eastAsia"/>
        </w:rPr>
        <w:t>、</w:t>
      </w:r>
      <w:r>
        <w:t>SEA SALT</w:t>
      </w:r>
    </w:p>
    <w:p>
      <w:pPr>
        <w:pStyle w:val="44"/>
      </w:pPr>
      <w:r>
        <w:rPr>
          <w:rFonts w:hint="eastAsia"/>
        </w:rPr>
        <w:t>分子式：NaCl</w:t>
      </w:r>
    </w:p>
    <w:p>
      <w:pPr>
        <w:pStyle w:val="44"/>
      </w:pPr>
      <w:r>
        <w:rPr>
          <w:rFonts w:hint="eastAsia"/>
        </w:rPr>
        <w:t>CAS号：7647-14-5</w:t>
      </w:r>
    </w:p>
    <w:p>
      <w:pPr>
        <w:pStyle w:val="44"/>
      </w:pPr>
      <w:r>
        <w:rPr>
          <w:rFonts w:hint="eastAsia"/>
        </w:rPr>
        <w:t>相对分子质量：58.443（按2018年国际相对原子质量）</w:t>
      </w:r>
    </w:p>
    <w:p>
      <w:pPr>
        <w:pStyle w:val="41"/>
      </w:pPr>
      <w:r>
        <w:rPr>
          <w:rFonts w:hint="eastAsia"/>
        </w:rPr>
        <w:t>要求</w:t>
      </w:r>
    </w:p>
    <w:p>
      <w:pPr>
        <w:pStyle w:val="38"/>
      </w:pPr>
      <w:r>
        <w:rPr>
          <w:rFonts w:hint="eastAsia"/>
        </w:rPr>
        <w:t>原料要求</w:t>
      </w:r>
    </w:p>
    <w:p>
      <w:pPr>
        <w:pStyle w:val="21"/>
      </w:pPr>
      <w:r>
        <w:rPr>
          <w:rFonts w:hint="eastAsia"/>
        </w:rPr>
        <w:t>不得使用污染后的海水（含沿海地下卤水）作为原料。原料中不得带入暴露于人体可能对人体健康造成危害的物质。</w:t>
      </w:r>
    </w:p>
    <w:p>
      <w:pPr>
        <w:pStyle w:val="38"/>
      </w:pPr>
      <w:r>
        <w:rPr>
          <w:rFonts w:hint="eastAsia"/>
        </w:rPr>
        <w:t>感官要求</w:t>
      </w:r>
    </w:p>
    <w:p>
      <w:pPr>
        <w:pStyle w:val="21"/>
      </w:pPr>
      <w:r>
        <w:rPr>
          <w:rFonts w:hint="eastAsia"/>
        </w:rPr>
        <w:t>感官要求应符合表1的规定。</w:t>
      </w:r>
    </w:p>
    <w:p>
      <w:pPr>
        <w:pStyle w:val="122"/>
      </w:pPr>
      <w:r>
        <w:rPr>
          <w:rFonts w:hint="eastAsia"/>
        </w:rPr>
        <w:t>感官要求</w:t>
      </w:r>
    </w:p>
    <w:tbl>
      <w:tblPr>
        <w:tblStyle w:val="29"/>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785"/>
        <w:gridCol w:w="47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8" w:space="0"/>
              <w:bottom w:val="single" w:color="auto" w:sz="8" w:space="0"/>
            </w:tcBorders>
            <w:shd w:val="clear" w:color="auto" w:fill="auto"/>
          </w:tcPr>
          <w:p>
            <w:pPr>
              <w:jc w:val="center"/>
              <w:rPr>
                <w:rFonts w:ascii="宋体"/>
              </w:rPr>
            </w:pPr>
            <w:r>
              <w:rPr>
                <w:rFonts w:hint="eastAsia" w:ascii="宋体" w:hAnsi="宋体"/>
                <w:sz w:val="18"/>
                <w:szCs w:val="18"/>
              </w:rPr>
              <w:t>项  目</w:t>
            </w:r>
          </w:p>
        </w:tc>
        <w:tc>
          <w:tcPr>
            <w:tcW w:w="4785" w:type="dxa"/>
            <w:tcBorders>
              <w:top w:val="single" w:color="auto" w:sz="8" w:space="0"/>
              <w:bottom w:val="single" w:color="auto" w:sz="8" w:space="0"/>
            </w:tcBorders>
            <w:shd w:val="clear" w:color="auto" w:fill="auto"/>
          </w:tcPr>
          <w:p>
            <w:pPr>
              <w:jc w:val="center"/>
              <w:rPr>
                <w:rFonts w:ascii="宋体"/>
              </w:rPr>
            </w:pPr>
            <w:r>
              <w:rPr>
                <w:rFonts w:hint="eastAsia" w:ascii="宋体" w:hAnsi="宋体"/>
                <w:sz w:val="18"/>
                <w:szCs w:val="18"/>
              </w:rPr>
              <w:t>要  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8" w:space="0"/>
            </w:tcBorders>
            <w:shd w:val="clear" w:color="auto" w:fill="auto"/>
            <w:vAlign w:val="center"/>
          </w:tcPr>
          <w:p>
            <w:pPr>
              <w:rPr>
                <w:rFonts w:ascii="宋体"/>
              </w:rPr>
            </w:pPr>
            <w:r>
              <w:rPr>
                <w:rFonts w:hint="eastAsia" w:ascii="宋体" w:hAnsi="宋体"/>
                <w:sz w:val="18"/>
                <w:szCs w:val="18"/>
              </w:rPr>
              <w:t>色泽和形态</w:t>
            </w:r>
          </w:p>
        </w:tc>
        <w:tc>
          <w:tcPr>
            <w:tcW w:w="4785" w:type="dxa"/>
            <w:tcBorders>
              <w:top w:val="single" w:color="auto" w:sz="8" w:space="0"/>
            </w:tcBorders>
            <w:shd w:val="clear" w:color="auto" w:fill="auto"/>
          </w:tcPr>
          <w:p>
            <w:pPr>
              <w:rPr>
                <w:rFonts w:ascii="宋体"/>
              </w:rPr>
            </w:pPr>
            <w:r>
              <w:rPr>
                <w:rFonts w:hint="eastAsia" w:ascii="宋体" w:hAnsi="宋体"/>
                <w:sz w:val="18"/>
                <w:szCs w:val="18"/>
              </w:rPr>
              <w:t>呈白色或无色结晶颗粒或粉末，色泽均匀一致。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bottom w:val="single" w:color="auto" w:sz="4" w:space="0"/>
            </w:tcBorders>
            <w:shd w:val="clear" w:color="auto" w:fill="auto"/>
          </w:tcPr>
          <w:p>
            <w:pPr>
              <w:rPr>
                <w:rFonts w:ascii="宋体"/>
              </w:rPr>
            </w:pPr>
            <w:r>
              <w:rPr>
                <w:rFonts w:hint="eastAsia" w:ascii="宋体" w:hAnsi="宋体"/>
                <w:sz w:val="18"/>
                <w:szCs w:val="18"/>
              </w:rPr>
              <w:t>气味</w:t>
            </w:r>
          </w:p>
        </w:tc>
        <w:tc>
          <w:tcPr>
            <w:tcW w:w="4785" w:type="dxa"/>
            <w:tcBorders>
              <w:bottom w:val="single" w:color="auto" w:sz="4" w:space="0"/>
            </w:tcBorders>
            <w:shd w:val="clear" w:color="auto" w:fill="auto"/>
          </w:tcPr>
          <w:p>
            <w:pPr>
              <w:rPr>
                <w:rFonts w:ascii="宋体"/>
              </w:rPr>
            </w:pPr>
            <w:r>
              <w:rPr>
                <w:rFonts w:hint="eastAsia" w:ascii="宋体" w:hAnsi="宋体"/>
                <w:sz w:val="18"/>
                <w:szCs w:val="18"/>
              </w:rPr>
              <w:t>无异味。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4" w:space="0"/>
              <w:bottom w:val="single" w:color="auto" w:sz="8" w:space="0"/>
            </w:tcBorders>
            <w:shd w:val="clear" w:color="auto" w:fill="auto"/>
            <w:vAlign w:val="center"/>
          </w:tcPr>
          <w:p>
            <w:pPr>
              <w:rPr>
                <w:rFonts w:ascii="宋体"/>
              </w:rPr>
            </w:pPr>
            <w:r>
              <w:rPr>
                <w:rFonts w:hint="eastAsia" w:ascii="宋体" w:hAnsi="宋体"/>
                <w:sz w:val="18"/>
                <w:szCs w:val="18"/>
              </w:rPr>
              <w:t>其他</w:t>
            </w:r>
          </w:p>
        </w:tc>
        <w:tc>
          <w:tcPr>
            <w:tcW w:w="4785" w:type="dxa"/>
            <w:tcBorders>
              <w:top w:val="single" w:color="auto" w:sz="4" w:space="0"/>
              <w:bottom w:val="single" w:color="auto" w:sz="8" w:space="0"/>
            </w:tcBorders>
            <w:shd w:val="clear" w:color="auto" w:fill="auto"/>
          </w:tcPr>
          <w:p>
            <w:pPr>
              <w:rPr>
                <w:rFonts w:ascii="宋体"/>
              </w:rPr>
            </w:pPr>
            <w:r>
              <w:rPr>
                <w:rFonts w:hint="eastAsia" w:ascii="宋体" w:hAnsi="宋体"/>
                <w:sz w:val="18"/>
                <w:szCs w:val="18"/>
              </w:rPr>
              <w:t>无正常视力可见外来杂质。</w:t>
            </w:r>
          </w:p>
        </w:tc>
      </w:tr>
    </w:tbl>
    <w:p>
      <w:pPr>
        <w:pStyle w:val="38"/>
      </w:pPr>
      <w:r>
        <w:rPr>
          <w:rFonts w:hint="eastAsia"/>
        </w:rPr>
        <w:t>理化指标</w:t>
      </w:r>
    </w:p>
    <w:p>
      <w:pPr>
        <w:pStyle w:val="134"/>
        <w:ind w:firstLine="420"/>
        <w:rPr>
          <w:rFonts w:hint="eastAsia" w:hAnsi="宋体"/>
        </w:rPr>
      </w:pPr>
      <w:r>
        <w:rPr>
          <w:rFonts w:hint="eastAsia"/>
        </w:rPr>
        <w:t>理化指标应符合表2的规定。</w:t>
      </w:r>
    </w:p>
    <w:p>
      <w:pPr>
        <w:pStyle w:val="122"/>
        <w:tabs>
          <w:tab w:val="left" w:pos="420"/>
          <w:tab w:val="clear" w:pos="360"/>
        </w:tabs>
        <w:spacing w:before="0" w:beforeLines="0" w:after="160" w:afterLines="0" w:line="278" w:lineRule="auto"/>
      </w:pPr>
      <w:r>
        <w:rPr>
          <w:rFonts w:hint="eastAsia"/>
        </w:rPr>
        <w:t>理化指标</w:t>
      </w:r>
    </w:p>
    <w:tbl>
      <w:tblPr>
        <w:tblStyle w:val="29"/>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785"/>
        <w:gridCol w:w="47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8" w:space="0"/>
              <w:bottom w:val="single" w:color="auto" w:sz="8" w:space="0"/>
            </w:tcBorders>
            <w:shd w:val="clear" w:color="auto" w:fill="auto"/>
            <w:vAlign w:val="center"/>
          </w:tcPr>
          <w:p>
            <w:pPr>
              <w:jc w:val="center"/>
              <w:rPr>
                <w:rFonts w:hint="eastAsia" w:ascii="宋体" w:hAnsi="宋体"/>
                <w:sz w:val="18"/>
                <w:szCs w:val="18"/>
              </w:rPr>
            </w:pPr>
            <w:r>
              <w:rPr>
                <w:rFonts w:ascii="宋体" w:hAnsi="宋体"/>
                <w:sz w:val="18"/>
                <w:szCs w:val="18"/>
              </w:rPr>
              <w:t>项</w:t>
            </w:r>
            <w:r>
              <w:rPr>
                <w:rFonts w:hint="eastAsia" w:ascii="宋体" w:hAnsi="宋体"/>
                <w:sz w:val="18"/>
                <w:szCs w:val="18"/>
              </w:rPr>
              <w:t xml:space="preserve">   </w:t>
            </w:r>
            <w:r>
              <w:rPr>
                <w:rFonts w:ascii="宋体" w:hAnsi="宋体"/>
                <w:sz w:val="18"/>
                <w:szCs w:val="18"/>
              </w:rPr>
              <w:t>目</w:t>
            </w:r>
          </w:p>
        </w:tc>
        <w:tc>
          <w:tcPr>
            <w:tcW w:w="4785" w:type="dxa"/>
            <w:tcBorders>
              <w:top w:val="single" w:color="auto" w:sz="8" w:space="0"/>
              <w:bottom w:val="single" w:color="auto" w:sz="8" w:space="0"/>
            </w:tcBorders>
            <w:shd w:val="clear" w:color="auto" w:fill="auto"/>
          </w:tcPr>
          <w:p>
            <w:pPr>
              <w:jc w:val="center"/>
              <w:rPr>
                <w:rFonts w:hint="eastAsia" w:ascii="宋体" w:hAnsi="宋体"/>
                <w:sz w:val="18"/>
                <w:szCs w:val="18"/>
              </w:rPr>
            </w:pPr>
            <w:r>
              <w:rPr>
                <w:rFonts w:ascii="宋体" w:hAnsi="宋体"/>
                <w:sz w:val="18"/>
                <w:szCs w:val="18"/>
              </w:rPr>
              <w:t>指</w:t>
            </w:r>
            <w:r>
              <w:rPr>
                <w:rFonts w:hint="eastAsia" w:ascii="宋体" w:hAnsi="宋体"/>
                <w:sz w:val="18"/>
                <w:szCs w:val="18"/>
              </w:rPr>
              <w:t xml:space="preserve">  </w:t>
            </w:r>
            <w:r>
              <w:rPr>
                <w:rFonts w:ascii="宋体" w:hAnsi="宋体"/>
                <w:sz w:val="18"/>
                <w:szCs w:val="18"/>
              </w:rPr>
              <w:t>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8" w:space="0"/>
              <w:left w:val="single" w:color="auto" w:sz="8" w:space="0"/>
            </w:tcBorders>
            <w:shd w:val="clear" w:color="auto" w:fill="auto"/>
          </w:tcPr>
          <w:p>
            <w:pPr>
              <w:jc w:val="distribute"/>
              <w:rPr>
                <w:rFonts w:hint="eastAsia" w:ascii="宋体" w:hAnsi="宋体"/>
                <w:sz w:val="18"/>
                <w:szCs w:val="18"/>
              </w:rPr>
            </w:pPr>
            <w:r>
              <w:rPr>
                <w:rFonts w:hint="eastAsia" w:ascii="宋体" w:hAnsi="宋体"/>
                <w:sz w:val="18"/>
                <w:szCs w:val="18"/>
              </w:rPr>
              <w:t xml:space="preserve">氯化钠 ,g/100g                                  </w:t>
            </w:r>
            <w:r>
              <w:rPr>
                <w:rFonts w:ascii="宋体" w:hAnsi="宋体"/>
                <w:sz w:val="18"/>
                <w:szCs w:val="18"/>
              </w:rPr>
              <w:t>≥</w:t>
            </w:r>
          </w:p>
        </w:tc>
        <w:tc>
          <w:tcPr>
            <w:tcW w:w="4785" w:type="dxa"/>
            <w:tcBorders>
              <w:top w:val="single" w:color="auto" w:sz="8" w:space="0"/>
            </w:tcBorders>
            <w:shd w:val="clear" w:color="auto" w:fill="auto"/>
            <w:vAlign w:val="center"/>
          </w:tcPr>
          <w:p>
            <w:pPr>
              <w:jc w:val="center"/>
              <w:rPr>
                <w:rFonts w:hint="eastAsia" w:ascii="宋体" w:hAnsi="宋体"/>
                <w:sz w:val="18"/>
                <w:szCs w:val="18"/>
              </w:rPr>
            </w:pPr>
            <w:r>
              <w:rPr>
                <w:rFonts w:hint="eastAsia" w:ascii="宋体" w:hAnsi="宋体"/>
                <w:sz w:val="18"/>
                <w:szCs w:val="18"/>
              </w:rPr>
              <w:t>95.5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left w:val="single" w:color="auto" w:sz="8" w:space="0"/>
            </w:tcBorders>
            <w:shd w:val="clear" w:color="auto" w:fill="auto"/>
          </w:tcPr>
          <w:p>
            <w:pPr>
              <w:jc w:val="distribute"/>
              <w:rPr>
                <w:rFonts w:hint="eastAsia" w:ascii="宋体" w:hAnsi="宋体"/>
                <w:sz w:val="18"/>
                <w:szCs w:val="18"/>
              </w:rPr>
            </w:pPr>
            <w:r>
              <w:rPr>
                <w:rFonts w:hint="eastAsia" w:ascii="宋体" w:hAnsi="宋体"/>
                <w:sz w:val="18"/>
                <w:szCs w:val="18"/>
              </w:rPr>
              <w:t xml:space="preserve">水分，g/100g                                    </w:t>
            </w:r>
            <w:r>
              <w:rPr>
                <w:rFonts w:ascii="宋体" w:hAnsi="宋体"/>
                <w:sz w:val="18"/>
                <w:szCs w:val="18"/>
              </w:rPr>
              <w:t>≤</w:t>
            </w:r>
          </w:p>
        </w:tc>
        <w:tc>
          <w:tcPr>
            <w:tcW w:w="4785" w:type="dxa"/>
            <w:shd w:val="clear" w:color="auto" w:fill="auto"/>
            <w:vAlign w:val="center"/>
          </w:tcPr>
          <w:p>
            <w:pPr>
              <w:jc w:val="center"/>
              <w:rPr>
                <w:rFonts w:hint="eastAsia" w:ascii="宋体" w:hAnsi="宋体"/>
                <w:sz w:val="18"/>
                <w:szCs w:val="18"/>
              </w:rPr>
            </w:pPr>
            <w:r>
              <w:rPr>
                <w:rFonts w:hint="eastAsia" w:ascii="宋体" w:hAnsi="宋体"/>
                <w:sz w:val="18"/>
                <w:szCs w:val="18"/>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left w:val="single" w:color="auto" w:sz="8" w:space="0"/>
            </w:tcBorders>
            <w:shd w:val="clear" w:color="auto" w:fill="auto"/>
          </w:tcPr>
          <w:p>
            <w:pPr>
              <w:jc w:val="distribute"/>
              <w:rPr>
                <w:rFonts w:hint="eastAsia" w:ascii="宋体" w:hAnsi="宋体"/>
                <w:sz w:val="18"/>
                <w:szCs w:val="18"/>
              </w:rPr>
            </w:pPr>
            <w:r>
              <w:rPr>
                <w:rFonts w:hint="eastAsia" w:ascii="宋体" w:hAnsi="宋体"/>
                <w:sz w:val="18"/>
                <w:szCs w:val="18"/>
              </w:rPr>
              <w:t xml:space="preserve">水不溶物，g/100g                                </w:t>
            </w:r>
            <w:r>
              <w:rPr>
                <w:rFonts w:ascii="宋体" w:hAnsi="宋体"/>
                <w:sz w:val="18"/>
                <w:szCs w:val="18"/>
              </w:rPr>
              <w:t>≤</w:t>
            </w:r>
          </w:p>
        </w:tc>
        <w:tc>
          <w:tcPr>
            <w:tcW w:w="4785" w:type="dxa"/>
            <w:shd w:val="clear" w:color="auto" w:fill="auto"/>
            <w:vAlign w:val="center"/>
          </w:tcPr>
          <w:p>
            <w:pPr>
              <w:jc w:val="center"/>
              <w:rPr>
                <w:rFonts w:hint="eastAsia" w:ascii="宋体" w:hAnsi="宋体"/>
                <w:sz w:val="18"/>
                <w:szCs w:val="18"/>
              </w:rPr>
            </w:pPr>
            <w:r>
              <w:rPr>
                <w:rFonts w:hint="eastAsia" w:ascii="宋体" w:hAnsi="宋体"/>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left w:val="single" w:color="auto" w:sz="8" w:space="0"/>
            </w:tcBorders>
            <w:shd w:val="clear" w:color="auto" w:fill="auto"/>
          </w:tcPr>
          <w:p>
            <w:pPr>
              <w:jc w:val="distribute"/>
              <w:rPr>
                <w:rFonts w:hint="eastAsia" w:ascii="宋体" w:hAnsi="宋体"/>
                <w:sz w:val="18"/>
                <w:szCs w:val="18"/>
              </w:rPr>
            </w:pPr>
            <w:r>
              <w:rPr>
                <w:rFonts w:hint="eastAsia" w:ascii="宋体" w:hAnsi="宋体"/>
                <w:sz w:val="18"/>
                <w:szCs w:val="18"/>
              </w:rPr>
              <w:t xml:space="preserve">铅（以Pb计）,mg/kg                               </w:t>
            </w:r>
            <w:r>
              <w:rPr>
                <w:rFonts w:ascii="宋体" w:hAnsi="宋体"/>
                <w:sz w:val="18"/>
                <w:szCs w:val="18"/>
              </w:rPr>
              <w:t>≤</w:t>
            </w:r>
          </w:p>
        </w:tc>
        <w:tc>
          <w:tcPr>
            <w:tcW w:w="4785" w:type="dxa"/>
            <w:shd w:val="clear" w:color="auto" w:fill="auto"/>
            <w:vAlign w:val="center"/>
          </w:tcPr>
          <w:p>
            <w:pPr>
              <w:jc w:val="center"/>
              <w:rPr>
                <w:rFonts w:hint="eastAsia" w:ascii="宋体" w:hAnsi="宋体"/>
                <w:sz w:val="18"/>
                <w:szCs w:val="18"/>
              </w:rPr>
            </w:pPr>
            <w:r>
              <w:rPr>
                <w:rFonts w:hint="eastAsia" w:ascii="宋体" w:hAnsi="宋体"/>
                <w:sz w:val="18"/>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left w:val="single" w:color="auto" w:sz="8" w:space="0"/>
              <w:bottom w:val="single" w:color="auto" w:sz="2" w:space="0"/>
            </w:tcBorders>
            <w:shd w:val="clear" w:color="auto" w:fill="auto"/>
          </w:tcPr>
          <w:p>
            <w:pPr>
              <w:jc w:val="distribute"/>
              <w:rPr>
                <w:rFonts w:hint="eastAsia" w:ascii="宋体" w:hAnsi="宋体"/>
                <w:sz w:val="18"/>
                <w:szCs w:val="18"/>
              </w:rPr>
            </w:pPr>
            <w:r>
              <w:rPr>
                <w:rFonts w:hint="eastAsia" w:ascii="宋体" w:hAnsi="宋体"/>
                <w:sz w:val="18"/>
                <w:szCs w:val="18"/>
              </w:rPr>
              <w:t xml:space="preserve">总汞（以Hg计）,mg/kg                              </w:t>
            </w:r>
            <w:r>
              <w:rPr>
                <w:rFonts w:ascii="宋体" w:hAnsi="宋体"/>
                <w:sz w:val="18"/>
                <w:szCs w:val="18"/>
              </w:rPr>
              <w:t>≤</w:t>
            </w:r>
          </w:p>
        </w:tc>
        <w:tc>
          <w:tcPr>
            <w:tcW w:w="4785" w:type="dxa"/>
            <w:tcBorders>
              <w:bottom w:val="single" w:color="auto" w:sz="2" w:space="0"/>
            </w:tcBorders>
            <w:shd w:val="clear" w:color="auto" w:fill="auto"/>
            <w:vAlign w:val="center"/>
          </w:tcPr>
          <w:p>
            <w:pPr>
              <w:jc w:val="center"/>
              <w:rPr>
                <w:rFonts w:hint="eastAsia" w:ascii="宋体" w:hAnsi="宋体"/>
                <w:sz w:val="18"/>
                <w:szCs w:val="18"/>
              </w:rPr>
            </w:pPr>
            <w:r>
              <w:rPr>
                <w:rFonts w:hint="eastAsia" w:ascii="宋体" w:hAnsi="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2" w:space="0"/>
              <w:left w:val="single" w:color="auto" w:sz="8" w:space="0"/>
              <w:bottom w:val="single" w:color="auto" w:sz="2" w:space="0"/>
              <w:right w:val="single" w:color="auto" w:sz="2" w:space="0"/>
            </w:tcBorders>
            <w:shd w:val="clear" w:color="auto" w:fill="auto"/>
          </w:tcPr>
          <w:p>
            <w:pPr>
              <w:jc w:val="distribute"/>
              <w:rPr>
                <w:rFonts w:hint="eastAsia" w:ascii="宋体" w:hAnsi="宋体"/>
                <w:sz w:val="18"/>
                <w:szCs w:val="18"/>
              </w:rPr>
            </w:pPr>
            <w:r>
              <w:rPr>
                <w:rFonts w:hint="eastAsia" w:ascii="宋体" w:hAnsi="宋体"/>
                <w:sz w:val="18"/>
                <w:szCs w:val="18"/>
              </w:rPr>
              <w:t xml:space="preserve">镉（以Cd计),mg/kg                               </w:t>
            </w:r>
            <w:r>
              <w:rPr>
                <w:rFonts w:ascii="宋体" w:hAnsi="宋体"/>
                <w:sz w:val="18"/>
                <w:szCs w:val="18"/>
              </w:rPr>
              <w:t>≤</w:t>
            </w:r>
          </w:p>
        </w:tc>
        <w:tc>
          <w:tcPr>
            <w:tcW w:w="4785" w:type="dxa"/>
            <w:tcBorders>
              <w:top w:val="single" w:color="auto" w:sz="2" w:space="0"/>
              <w:left w:val="single" w:color="auto" w:sz="2" w:space="0"/>
              <w:bottom w:val="single" w:color="auto" w:sz="2" w:space="0"/>
              <w:right w:val="single" w:color="auto" w:sz="8" w:space="0"/>
            </w:tcBorders>
            <w:shd w:val="clear" w:color="auto" w:fill="auto"/>
            <w:vAlign w:val="center"/>
          </w:tcPr>
          <w:p>
            <w:pPr>
              <w:jc w:val="center"/>
              <w:rPr>
                <w:rFonts w:hint="eastAsia" w:ascii="宋体" w:hAnsi="宋体"/>
                <w:sz w:val="18"/>
                <w:szCs w:val="18"/>
              </w:rPr>
            </w:pPr>
            <w:r>
              <w:rPr>
                <w:rFonts w:hint="eastAsia" w:ascii="宋体" w:hAnsi="宋体"/>
                <w:sz w:val="18"/>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2" w:space="0"/>
              <w:left w:val="single" w:color="auto" w:sz="8" w:space="0"/>
              <w:bottom w:val="single" w:color="auto" w:sz="2" w:space="0"/>
              <w:right w:val="single" w:color="auto" w:sz="2" w:space="0"/>
            </w:tcBorders>
            <w:shd w:val="clear" w:color="auto" w:fill="auto"/>
          </w:tcPr>
          <w:p>
            <w:pPr>
              <w:jc w:val="distribute"/>
              <w:rPr>
                <w:rFonts w:hint="eastAsia" w:ascii="宋体" w:hAnsi="宋体"/>
                <w:sz w:val="18"/>
                <w:szCs w:val="18"/>
              </w:rPr>
            </w:pPr>
            <w:r>
              <w:rPr>
                <w:rFonts w:hint="eastAsia" w:ascii="宋体" w:hAnsi="宋体"/>
                <w:sz w:val="18"/>
                <w:szCs w:val="18"/>
              </w:rPr>
              <w:t xml:space="preserve">总砷（以As计）,mg/kg                              </w:t>
            </w:r>
            <w:r>
              <w:rPr>
                <w:rFonts w:ascii="宋体" w:hAnsi="宋体"/>
                <w:sz w:val="18"/>
                <w:szCs w:val="18"/>
              </w:rPr>
              <w:t>≤</w:t>
            </w:r>
          </w:p>
        </w:tc>
        <w:tc>
          <w:tcPr>
            <w:tcW w:w="4785" w:type="dxa"/>
            <w:tcBorders>
              <w:top w:val="single" w:color="auto" w:sz="2" w:space="0"/>
              <w:left w:val="single" w:color="auto" w:sz="2" w:space="0"/>
              <w:bottom w:val="single" w:color="auto" w:sz="2" w:space="0"/>
              <w:right w:val="single" w:color="auto" w:sz="8" w:space="0"/>
            </w:tcBorders>
            <w:shd w:val="clear" w:color="auto" w:fill="auto"/>
            <w:vAlign w:val="center"/>
          </w:tcPr>
          <w:p>
            <w:pPr>
              <w:jc w:val="center"/>
              <w:rPr>
                <w:rFonts w:hint="eastAsia" w:ascii="宋体" w:hAnsi="宋体"/>
                <w:sz w:val="18"/>
                <w:szCs w:val="18"/>
              </w:rPr>
            </w:pPr>
            <w:r>
              <w:rPr>
                <w:rFonts w:hint="eastAsia" w:ascii="宋体" w:hAnsi="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2" w:space="0"/>
              <w:left w:val="single" w:color="auto" w:sz="8" w:space="0"/>
              <w:bottom w:val="single" w:color="auto" w:sz="8" w:space="0"/>
              <w:right w:val="single" w:color="auto" w:sz="2" w:space="0"/>
            </w:tcBorders>
            <w:shd w:val="clear" w:color="auto" w:fill="auto"/>
          </w:tcPr>
          <w:p>
            <w:pPr>
              <w:jc w:val="left"/>
              <w:rPr>
                <w:rFonts w:hint="eastAsia" w:ascii="宋体" w:hAnsi="宋体"/>
                <w:sz w:val="18"/>
                <w:szCs w:val="18"/>
              </w:rPr>
            </w:pPr>
            <w:r>
              <w:rPr>
                <w:rFonts w:hint="eastAsia" w:ascii="宋体" w:hAnsi="宋体"/>
                <w:sz w:val="18"/>
                <w:szCs w:val="18"/>
              </w:rPr>
              <w:t>pH值（10g/L溶液）</w:t>
            </w:r>
          </w:p>
        </w:tc>
        <w:tc>
          <w:tcPr>
            <w:tcW w:w="4785" w:type="dxa"/>
            <w:tcBorders>
              <w:top w:val="single" w:color="auto" w:sz="2" w:space="0"/>
              <w:left w:val="single" w:color="auto" w:sz="2" w:space="0"/>
              <w:bottom w:val="single" w:color="auto" w:sz="8" w:space="0"/>
              <w:right w:val="single" w:color="auto" w:sz="8" w:space="0"/>
            </w:tcBorders>
            <w:shd w:val="clear" w:color="auto" w:fill="auto"/>
            <w:vAlign w:val="center"/>
          </w:tcPr>
          <w:p>
            <w:pPr>
              <w:jc w:val="center"/>
              <w:rPr>
                <w:rFonts w:hint="eastAsia" w:ascii="宋体" w:hAnsi="宋体"/>
                <w:sz w:val="18"/>
                <w:szCs w:val="18"/>
              </w:rPr>
            </w:pPr>
            <w:r>
              <w:rPr>
                <w:rFonts w:hint="eastAsia" w:ascii="宋体" w:hAnsi="宋体"/>
                <w:sz w:val="18"/>
                <w:szCs w:val="18"/>
              </w:rPr>
              <w:t>6</w:t>
            </w:r>
            <w:r>
              <w:rPr>
                <w:rFonts w:hint="eastAsia" w:ascii="宋体" w:hAnsi="宋体" w:cs="宋体"/>
                <w:sz w:val="18"/>
                <w:szCs w:val="18"/>
              </w:rPr>
              <w:t>～</w:t>
            </w:r>
            <w:r>
              <w:rPr>
                <w:rFonts w:hint="eastAsia" w:ascii="宋体" w:hAnsi="宋体"/>
                <w:sz w:val="18"/>
                <w:szCs w:val="18"/>
              </w:rPr>
              <w:t>8</w:t>
            </w:r>
          </w:p>
        </w:tc>
      </w:tr>
    </w:tbl>
    <w:p>
      <w:pPr>
        <w:pStyle w:val="41"/>
      </w:pPr>
      <w:r>
        <w:rPr>
          <w:rFonts w:hint="eastAsia"/>
        </w:rPr>
        <w:t>试验方法</w:t>
      </w:r>
    </w:p>
    <w:p>
      <w:pPr>
        <w:pStyle w:val="38"/>
      </w:pPr>
      <w:r>
        <w:rPr>
          <w:rFonts w:hint="eastAsia"/>
        </w:rPr>
        <w:t>感官</w:t>
      </w:r>
    </w:p>
    <w:p>
      <w:pPr>
        <w:pStyle w:val="21"/>
      </w:pPr>
      <w:r>
        <w:rPr>
          <w:rFonts w:hint="eastAsia"/>
        </w:rPr>
        <w:t>取适量试样于白色衬底的表面皿或白瓷板上，在自然光线下，用目测观察其色泽和状态，鉴定是否含有可见性外来杂质，并嗅其气味。</w:t>
      </w:r>
    </w:p>
    <w:p>
      <w:pPr>
        <w:pStyle w:val="38"/>
      </w:pPr>
      <w:r>
        <w:rPr>
          <w:rFonts w:hint="eastAsia"/>
        </w:rPr>
        <w:t>氯离子</w:t>
      </w:r>
    </w:p>
    <w:p>
      <w:pPr>
        <w:pStyle w:val="21"/>
      </w:pPr>
      <w:r>
        <w:rPr>
          <w:rFonts w:hint="eastAsia"/>
        </w:rPr>
        <w:t>按GB/T 13025.5规定执行。</w:t>
      </w:r>
    </w:p>
    <w:p>
      <w:pPr>
        <w:pStyle w:val="38"/>
      </w:pPr>
      <w:r>
        <w:rPr>
          <w:rFonts w:hint="eastAsia"/>
        </w:rPr>
        <w:t>钙、镁离子</w:t>
      </w:r>
    </w:p>
    <w:p>
      <w:pPr>
        <w:pStyle w:val="134"/>
        <w:ind w:firstLine="420"/>
      </w:pPr>
      <w:r>
        <w:t>按GB/T 13025.6</w:t>
      </w:r>
      <w:r>
        <w:rPr>
          <w:rFonts w:hint="eastAsia"/>
        </w:rPr>
        <w:t>规定执行</w:t>
      </w:r>
      <w:r>
        <w:t>。</w:t>
      </w:r>
    </w:p>
    <w:p>
      <w:pPr>
        <w:pStyle w:val="38"/>
      </w:pPr>
      <w:r>
        <w:rPr>
          <w:rFonts w:hint="eastAsia"/>
        </w:rPr>
        <w:t>硫酸根</w:t>
      </w:r>
    </w:p>
    <w:p>
      <w:pPr>
        <w:pStyle w:val="134"/>
        <w:ind w:firstLine="420"/>
      </w:pPr>
      <w:r>
        <w:t>按GB/T 13025.8</w:t>
      </w:r>
      <w:r>
        <w:rPr>
          <w:rFonts w:hint="eastAsia"/>
        </w:rPr>
        <w:t>规定执行</w:t>
      </w:r>
      <w:r>
        <w:t>。</w:t>
      </w:r>
    </w:p>
    <w:p>
      <w:pPr>
        <w:pStyle w:val="38"/>
      </w:pPr>
      <w:r>
        <w:rPr>
          <w:rFonts w:hint="eastAsia"/>
        </w:rPr>
        <w:t>化合物计算</w:t>
      </w:r>
    </w:p>
    <w:p>
      <w:pPr>
        <w:pStyle w:val="134"/>
        <w:ind w:firstLine="420"/>
      </w:pPr>
      <w:r>
        <w:rPr>
          <w:rFonts w:hint="eastAsia"/>
        </w:rPr>
        <w:t>按6.2、6.3、6.4给出的各离子含量，依据表3总给出的离子结合顺序，依次计算硫酸钙、硫酸镁、硫酸钠、氯化钙、氯化镁和氯化钠的含量。若以顺序号计算时，某种化合物因阴离子或阳离子不存在而不能形成，即依次以下一顺序号递补进行计算，计算结果保留至小数点后一位，取至第一位。</w:t>
      </w:r>
    </w:p>
    <w:p>
      <w:pPr>
        <w:pStyle w:val="122"/>
        <w:ind w:left="-142"/>
      </w:pPr>
      <w:r>
        <w:rPr>
          <w:rFonts w:hint="eastAsia"/>
        </w:rPr>
        <w:t>离子结合顺序</w:t>
      </w:r>
    </w:p>
    <w:tbl>
      <w:tblPr>
        <w:tblStyle w:val="29"/>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9"/>
        <w:gridCol w:w="2515"/>
        <w:gridCol w:w="2835"/>
        <w:gridCol w:w="2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9" w:type="dxa"/>
            <w:vMerge w:val="restart"/>
            <w:tcBorders>
              <w:top w:val="single" w:color="auto" w:sz="8" w:space="0"/>
              <w:left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阴离子</w:t>
            </w:r>
          </w:p>
        </w:tc>
        <w:tc>
          <w:tcPr>
            <w:tcW w:w="8292"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阳离子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9" w:type="dxa"/>
            <w:vMerge w:val="continue"/>
            <w:tcBorders>
              <w:left w:val="single" w:color="auto" w:sz="8" w:space="0"/>
              <w:bottom w:val="single" w:color="auto" w:sz="8" w:space="0"/>
              <w:right w:val="single" w:color="auto" w:sz="8" w:space="0"/>
            </w:tcBorders>
            <w:vAlign w:val="center"/>
          </w:tcPr>
          <w:p>
            <w:pPr>
              <w:jc w:val="center"/>
              <w:rPr>
                <w:rFonts w:hint="eastAsia" w:ascii="宋体" w:hAnsi="宋体"/>
                <w:bCs/>
                <w:szCs w:val="32"/>
              </w:rPr>
            </w:pPr>
          </w:p>
        </w:tc>
        <w:tc>
          <w:tcPr>
            <w:tcW w:w="2515"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钙离子</w:t>
            </w:r>
          </w:p>
        </w:tc>
        <w:tc>
          <w:tcPr>
            <w:tcW w:w="2835"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镁离子</w:t>
            </w:r>
          </w:p>
        </w:tc>
        <w:tc>
          <w:tcPr>
            <w:tcW w:w="2942"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钠离子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9" w:type="dxa"/>
            <w:tcBorders>
              <w:top w:val="single" w:color="auto" w:sz="8" w:space="0"/>
              <w:left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硫酸根</w:t>
            </w:r>
          </w:p>
        </w:tc>
        <w:tc>
          <w:tcPr>
            <w:tcW w:w="2515" w:type="dxa"/>
            <w:tcBorders>
              <w:top w:val="single" w:color="auto" w:sz="8" w:space="0"/>
              <w:left w:val="single" w:color="auto" w:sz="8" w:space="0"/>
            </w:tcBorders>
            <w:vAlign w:val="center"/>
          </w:tcPr>
          <w:p>
            <w:pPr>
              <w:jc w:val="center"/>
              <w:rPr>
                <w:rFonts w:hint="eastAsia" w:ascii="宋体" w:hAnsi="宋体"/>
                <w:bCs/>
                <w:szCs w:val="32"/>
              </w:rPr>
            </w:pPr>
            <w:r>
              <w:rPr>
                <w:rFonts w:hint="eastAsia" w:ascii="宋体" w:hAnsi="宋体"/>
                <w:bCs/>
                <w:szCs w:val="32"/>
              </w:rPr>
              <w:t>（1）硫酸钙</w:t>
            </w:r>
          </w:p>
        </w:tc>
        <w:tc>
          <w:tcPr>
            <w:tcW w:w="2835" w:type="dxa"/>
            <w:tcBorders>
              <w:top w:val="single" w:color="auto" w:sz="8" w:space="0"/>
            </w:tcBorders>
            <w:vAlign w:val="center"/>
          </w:tcPr>
          <w:p>
            <w:pPr>
              <w:jc w:val="center"/>
              <w:rPr>
                <w:rFonts w:hint="eastAsia" w:ascii="宋体" w:hAnsi="宋体"/>
                <w:bCs/>
                <w:szCs w:val="32"/>
              </w:rPr>
            </w:pPr>
            <w:r>
              <w:rPr>
                <w:rFonts w:hint="eastAsia" w:ascii="宋体" w:hAnsi="宋体"/>
                <w:bCs/>
                <w:szCs w:val="32"/>
              </w:rPr>
              <w:t>（2）硫酸镁</w:t>
            </w:r>
          </w:p>
        </w:tc>
        <w:tc>
          <w:tcPr>
            <w:tcW w:w="2942" w:type="dxa"/>
            <w:tcBorders>
              <w:top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（3）硫酸钠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9" w:type="dxa"/>
            <w:tcBorders>
              <w:left w:val="single" w:color="auto" w:sz="8" w:space="0"/>
              <w:bottom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氯离子</w:t>
            </w:r>
          </w:p>
        </w:tc>
        <w:tc>
          <w:tcPr>
            <w:tcW w:w="2515" w:type="dxa"/>
            <w:tcBorders>
              <w:left w:val="single" w:color="auto" w:sz="8" w:space="0"/>
              <w:bottom w:val="single" w:color="auto" w:sz="8" w:space="0"/>
            </w:tcBorders>
            <w:vAlign w:val="center"/>
          </w:tcPr>
          <w:p>
            <w:pPr>
              <w:jc w:val="center"/>
              <w:rPr>
                <w:rFonts w:hint="eastAsia" w:ascii="宋体" w:hAnsi="宋体"/>
                <w:bCs/>
                <w:szCs w:val="32"/>
              </w:rPr>
            </w:pPr>
            <w:r>
              <w:rPr>
                <w:rFonts w:hint="eastAsia" w:ascii="宋体" w:hAnsi="宋体"/>
                <w:bCs/>
                <w:szCs w:val="32"/>
              </w:rPr>
              <w:t>（4）氯化钙</w:t>
            </w:r>
          </w:p>
        </w:tc>
        <w:tc>
          <w:tcPr>
            <w:tcW w:w="2835" w:type="dxa"/>
            <w:tcBorders>
              <w:bottom w:val="single" w:color="auto" w:sz="8" w:space="0"/>
            </w:tcBorders>
            <w:vAlign w:val="center"/>
          </w:tcPr>
          <w:p>
            <w:pPr>
              <w:jc w:val="center"/>
              <w:rPr>
                <w:rFonts w:hint="eastAsia" w:ascii="宋体" w:hAnsi="宋体"/>
                <w:bCs/>
                <w:szCs w:val="32"/>
              </w:rPr>
            </w:pPr>
            <w:r>
              <w:rPr>
                <w:rFonts w:hint="eastAsia" w:ascii="宋体" w:hAnsi="宋体"/>
                <w:bCs/>
                <w:szCs w:val="32"/>
              </w:rPr>
              <w:t>（5）氯化镁</w:t>
            </w:r>
          </w:p>
        </w:tc>
        <w:tc>
          <w:tcPr>
            <w:tcW w:w="2942" w:type="dxa"/>
            <w:tcBorders>
              <w:bottom w:val="single" w:color="auto" w:sz="8" w:space="0"/>
              <w:right w:val="single" w:color="auto" w:sz="8" w:space="0"/>
            </w:tcBorders>
            <w:vAlign w:val="center"/>
          </w:tcPr>
          <w:p>
            <w:pPr>
              <w:jc w:val="center"/>
              <w:rPr>
                <w:rFonts w:hint="eastAsia" w:ascii="宋体" w:hAnsi="宋体"/>
                <w:bCs/>
                <w:szCs w:val="32"/>
              </w:rPr>
            </w:pPr>
            <w:r>
              <w:rPr>
                <w:rFonts w:hint="eastAsia" w:ascii="宋体" w:hAnsi="宋体"/>
                <w:bCs/>
                <w:szCs w:val="32"/>
              </w:rPr>
              <w:t>（6）氯化钠</w:t>
            </w:r>
          </w:p>
        </w:tc>
      </w:tr>
    </w:tbl>
    <w:p>
      <w:pPr>
        <w:pStyle w:val="38"/>
      </w:pPr>
      <w:r>
        <w:rPr>
          <w:rFonts w:hint="eastAsia"/>
        </w:rPr>
        <w:t>水分</w:t>
      </w:r>
    </w:p>
    <w:p>
      <w:pPr>
        <w:pStyle w:val="21"/>
      </w:pPr>
      <w:r>
        <w:rPr>
          <w:rFonts w:hint="eastAsia"/>
        </w:rPr>
        <w:t>按</w:t>
      </w:r>
      <w:r>
        <w:t>GB/T 13025.3-2012</w:t>
      </w:r>
      <w:r>
        <w:rPr>
          <w:rFonts w:hint="eastAsia"/>
        </w:rPr>
        <w:t>第2章的规定于140℃干燥恒重后，试样的水分含量为干燥失重和残留结晶水之和，按式（</w:t>
      </w:r>
      <w:r>
        <w:t>1</w:t>
      </w:r>
      <w:r>
        <w:rPr>
          <w:rFonts w:hint="eastAsia"/>
        </w:rPr>
        <w:t>）计算。</w:t>
      </w:r>
    </w:p>
    <w:p>
      <w:pPr>
        <w:pStyle w:val="123"/>
      </w:pPr>
      <w:bookmarkStart w:id="23" w:name="_Hlk184289949"/>
      <w:r>
        <w:tab/>
      </w:r>
      <m:oMath>
        <w:bookmarkStart w:id="24" w:name="_Hlk184290594"/>
        <m:r>
          <m:rPr/>
          <w:rPr>
            <w:rFonts w:ascii="Cambria Math"/>
          </w:rPr>
          <m:t>ω=</m:t>
        </m:r>
        <m:sSub>
          <m:sSubPr>
            <m:ctrlPr>
              <w:rPr>
                <w:rFonts w:ascii="Cambria Math" w:hAnsi="Cambria Math"/>
                <w:i/>
              </w:rPr>
            </m:ctrlPr>
          </m:sSubPr>
          <m:e>
            <m:r>
              <m:rPr/>
              <w:rPr>
                <w:rFonts w:ascii="Cambria Math"/>
              </w:rPr>
              <m:t>ω</m:t>
            </m:r>
            <m:ctrlPr>
              <w:rPr>
                <w:rFonts w:ascii="Cambria Math" w:hAnsi="Cambria Math"/>
                <w:i/>
              </w:rPr>
            </m:ctrlPr>
          </m:e>
          <m:sub>
            <m:r>
              <m:rPr/>
              <w:rPr>
                <w:rFonts w:ascii="Cambria Math"/>
              </w:rPr>
              <m:t>1</m:t>
            </m:r>
            <m:ctrlPr>
              <w:rPr>
                <w:rFonts w:ascii="Cambria Math" w:hAnsi="Cambria Math"/>
                <w:i/>
              </w:rPr>
            </m:ctrlPr>
          </m:sub>
        </m:sSub>
        <m:r>
          <m:rPr/>
          <w:rPr>
            <w:rFonts w:ascii="Cambria Math"/>
          </w:rPr>
          <m:t>+</m:t>
        </m:r>
        <m:sSub>
          <m:sSubPr>
            <m:ctrlPr>
              <w:rPr>
                <w:rFonts w:ascii="Cambria Math" w:hAnsi="Cambria Math"/>
                <w:i/>
              </w:rPr>
            </m:ctrlPr>
          </m:sSubPr>
          <m:e>
            <m:r>
              <m:rPr/>
              <w:rPr>
                <w:rFonts w:ascii="Cambria Math"/>
              </w:rPr>
              <m:t>ω</m:t>
            </m:r>
            <m:ctrlPr>
              <w:rPr>
                <w:rFonts w:ascii="Cambria Math" w:hAnsi="Cambria Math"/>
                <w:i/>
              </w:rPr>
            </m:ctrlPr>
          </m:e>
          <m:sub>
            <m:r>
              <m:rPr/>
              <w:rPr>
                <w:rFonts w:ascii="Cambria Math"/>
              </w:rPr>
              <m:t>2</m:t>
            </m:r>
            <m:ctrlPr>
              <w:rPr>
                <w:rFonts w:ascii="Cambria Math" w:hAnsi="Cambria Math"/>
                <w:i/>
              </w:rPr>
            </m:ctrlPr>
          </m:sub>
        </m:sSub>
        <m:r>
          <m:rPr/>
          <w:rPr>
            <w:rFonts w:ascii="Cambria Math"/>
          </w:rPr>
          <m:t>×0.0662+</m:t>
        </m:r>
        <m:sSub>
          <m:sSubPr>
            <m:ctrlPr>
              <w:rPr>
                <w:rFonts w:ascii="Cambria Math" w:hAnsi="Cambria Math"/>
                <w:i/>
              </w:rPr>
            </m:ctrlPr>
          </m:sSubPr>
          <m:e>
            <m:r>
              <m:rPr/>
              <w:rPr>
                <w:rFonts w:ascii="Cambria Math"/>
              </w:rPr>
              <m:t>ω</m:t>
            </m:r>
            <m:ctrlPr>
              <w:rPr>
                <w:rFonts w:ascii="Cambria Math" w:hAnsi="Cambria Math"/>
                <w:i/>
              </w:rPr>
            </m:ctrlPr>
          </m:e>
          <m:sub>
            <m:r>
              <m:rPr/>
              <w:rPr>
                <w:rFonts w:ascii="Cambria Math"/>
              </w:rPr>
              <m:t>3</m:t>
            </m:r>
            <m:ctrlPr>
              <w:rPr>
                <w:rFonts w:ascii="Cambria Math" w:hAnsi="Cambria Math"/>
                <w:i/>
              </w:rPr>
            </m:ctrlPr>
          </m:sub>
        </m:sSub>
        <m:r>
          <m:rPr/>
          <w:rPr>
            <w:rFonts w:ascii="Cambria Math"/>
          </w:rPr>
          <m:t>×0.1497+</m:t>
        </m:r>
        <m:sSub>
          <m:sSubPr>
            <m:ctrlPr>
              <w:rPr>
                <w:rFonts w:ascii="Cambria Math" w:hAnsi="Cambria Math"/>
                <w:i/>
              </w:rPr>
            </m:ctrlPr>
          </m:sSubPr>
          <m:e>
            <m:r>
              <m:rPr/>
              <w:rPr>
                <w:rFonts w:ascii="Cambria Math"/>
              </w:rPr>
              <m:t>ω</m:t>
            </m:r>
            <m:ctrlPr>
              <w:rPr>
                <w:rFonts w:ascii="Cambria Math" w:hAnsi="Cambria Math"/>
                <w:i/>
              </w:rPr>
            </m:ctrlPr>
          </m:e>
          <m:sub>
            <m:r>
              <m:rPr/>
              <w:rPr>
                <w:rFonts w:ascii="Cambria Math"/>
              </w:rPr>
              <m:t>4</m:t>
            </m:r>
            <m:ctrlPr>
              <w:rPr>
                <w:rFonts w:ascii="Cambria Math" w:hAnsi="Cambria Math"/>
                <w:i/>
              </w:rPr>
            </m:ctrlPr>
          </m:sub>
        </m:sSub>
        <m:r>
          <m:rPr/>
          <w:rPr>
            <w:rFonts w:ascii="Cambria Math"/>
          </w:rPr>
          <m:t>×0.3246+</m:t>
        </m:r>
        <m:sSub>
          <m:sSubPr>
            <m:ctrlPr>
              <w:rPr>
                <w:rFonts w:ascii="Cambria Math" w:hAnsi="Cambria Math"/>
                <w:i/>
              </w:rPr>
            </m:ctrlPr>
          </m:sSubPr>
          <m:e>
            <m:r>
              <m:rPr/>
              <w:rPr>
                <w:rFonts w:ascii="Cambria Math"/>
              </w:rPr>
              <m:t>ω</m:t>
            </m:r>
            <m:ctrlPr>
              <w:rPr>
                <w:rFonts w:ascii="Cambria Math" w:hAnsi="Cambria Math"/>
                <w:i/>
              </w:rPr>
            </m:ctrlPr>
          </m:e>
          <m:sub>
            <m:r>
              <m:rPr/>
              <w:rPr>
                <w:rFonts w:ascii="Cambria Math"/>
              </w:rPr>
              <m:t>5</m:t>
            </m:r>
            <m:ctrlPr>
              <w:rPr>
                <w:rFonts w:ascii="Cambria Math" w:hAnsi="Cambria Math"/>
                <w:i/>
              </w:rPr>
            </m:ctrlPr>
          </m:sub>
        </m:sSub>
        <m:r>
          <m:rPr/>
          <w:rPr>
            <w:rFonts w:ascii="Cambria Math"/>
          </w:rPr>
          <m:t>×0.3784</m:t>
        </m:r>
      </m:oMath>
      <w:bookmarkEnd w:id="24"/>
      <w:r>
        <w:fldChar w:fldCharType="begin"/>
      </w:r>
      <w:r>
        <w:instrText xml:space="preserve"> QUOTE </w:instrText>
      </w:r>
      <w:r>
        <w:rPr>
          <w:position w:val="-8"/>
        </w:rPr>
        <w:pict>
          <v:shape id="_x0000_i1025" o:spt="75" type="#_x0000_t75" style="height:15.9pt;width:306.5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sdtfl=&quot;http://schemas.microsoft.com/office/word/2024/wordml/sdtformatlock&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7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035925&quot;/&gt;&lt;wsp:rsid wsp:val=&quot;00000244&quot;/&gt;&lt;wsp:rsid wsp:val=&quot;0000185F&quot;/&gt;&lt;wsp:rsid wsp:val=&quot;0000586F&quot;/&gt;&lt;wsp:rsid wsp:val=&quot;000076A3&quot;/&gt;&lt;wsp:rsid wsp:val=&quot;00013D86&quot;/&gt;&lt;wsp:rsid wsp:val=&quot;00013E02&quot;/&gt;&lt;wsp:rsid wsp:val=&quot;0002143C&quot;/&gt;&lt;wsp:rsid wsp:val=&quot;00025A65&quot;/&gt;&lt;wsp:rsid wsp:val=&quot;00026C31&quot;/&gt;&lt;wsp:rsid wsp:val=&quot;00027280&quot;/&gt;&lt;wsp:rsid wsp:val=&quot;000320A7&quot;/&gt;&lt;wsp:rsid wsp:val=&quot;00035925&quot;/&gt;&lt;wsp:rsid wsp:val=&quot;00067CDF&quot;/&gt;&lt;wsp:rsid wsp:val=&quot;00074FBE&quot;/&gt;&lt;wsp:rsid wsp:val=&quot;00083A09&quot;/&gt;&lt;wsp:rsid wsp:val=&quot;0009005E&quot;/&gt;&lt;wsp:rsid wsp:val=&quot;00092857&quot;/&gt;&lt;wsp:rsid wsp:val=&quot;000A20A9&quot;/&gt;&lt;wsp:rsid wsp:val=&quot;000A48B1&quot;/&gt;&lt;wsp:rsid wsp:val=&quot;000B3143&quot;/&gt;&lt;wsp:rsid wsp:val=&quot;000C6B05&quot;/&gt;&lt;wsp:rsid wsp:val=&quot;000C6DD6&quot;/&gt;&lt;wsp:rsid wsp:val=&quot;000C73D4&quot;/&gt;&lt;wsp:rsid wsp:val=&quot;000D3D4C&quot;/&gt;&lt;wsp:rsid wsp:val=&quot;000D4F51&quot;/&gt;&lt;wsp:rsid wsp:val=&quot;000D718B&quot;/&gt;&lt;wsp:rsid wsp:val=&quot;000E0C46&quot;/&gt;&lt;wsp:rsid wsp:val=&quot;000F030C&quot;/&gt;&lt;wsp:rsid wsp:val=&quot;000F129C&quot;/&gt;&lt;wsp:rsid wsp:val=&quot;001047BB&quot;/&gt;&lt;wsp:rsid wsp:val=&quot;001056DE&quot;/&gt;&lt;wsp:rsid wsp:val=&quot;001124C0&quot;/&gt;&lt;wsp:rsid wsp:val=&quot;0013175F&quot;/&gt;&lt;wsp:rsid wsp:val=&quot;001512B4&quot;/&gt;&lt;wsp:rsid wsp:val=&quot;001620A5&quot;/&gt;&lt;wsp:rsid wsp:val=&quot;00164E53&quot;/&gt;&lt;wsp:rsid wsp:val=&quot;0016699D&quot;/&gt;&lt;wsp:rsid wsp:val=&quot;00175159&quot;/&gt;&lt;wsp:rsid wsp:val=&quot;00176208&quot;/&gt;&lt;wsp:rsid wsp:val=&quot;0018211B&quot;/&gt;&lt;wsp:rsid wsp:val=&quot;001840D3&quot;/&gt;&lt;wsp:rsid wsp:val=&quot;001900F8&quot;/&gt;&lt;wsp:rsid wsp:val=&quot;00191258&quot;/&gt;&lt;wsp:rsid wsp:val=&quot;00192680&quot;/&gt;&lt;wsp:rsid wsp:val=&quot;00193037&quot;/&gt;&lt;wsp:rsid wsp:val=&quot;00193A2C&quot;/&gt;&lt;wsp:rsid wsp:val=&quot;001A288E&quot;/&gt;&lt;wsp:rsid wsp:val=&quot;001B6DC2&quot;/&gt;&lt;wsp:rsid wsp:val=&quot;001C149C&quot;/&gt;&lt;wsp:rsid wsp:val=&quot;001C21AC&quot;/&gt;&lt;wsp:rsid wsp:val=&quot;001C47BA&quot;/&gt;&lt;wsp:rsid wsp:val=&quot;001C59EA&quot;/&gt;&lt;wsp:rsid wsp:val=&quot;001D406C&quot;/&gt;&lt;wsp:rsid wsp:val=&quot;001D41EE&quot;/&gt;&lt;wsp:rsid wsp:val=&quot;001E0380&quot;/&gt;&lt;wsp:rsid wsp:val=&quot;001E13B1&quot;/&gt;&lt;wsp:rsid wsp:val=&quot;001E5C3E&quot;/&gt;&lt;wsp:rsid wsp:val=&quot;001E681D&quot;/&gt;&lt;wsp:rsid wsp:val=&quot;001F3A19&quot;/&gt;&lt;wsp:rsid wsp:val=&quot;001F4A35&quot;/&gt;&lt;wsp:rsid wsp:val=&quot;00234467&quot;/&gt;&lt;wsp:rsid wsp:val=&quot;00237D8D&quot;/&gt;&lt;wsp:rsid wsp:val=&quot;00241DA2&quot;/&gt;&lt;wsp:rsid wsp:val=&quot;00244435&quot;/&gt;&lt;wsp:rsid wsp:val=&quot;00247FEE&quot;/&gt;&lt;wsp:rsid wsp:val=&quot;00250E7D&quot;/&gt;&lt;wsp:rsid wsp:val=&quot;002565D5&quot;/&gt;&lt;wsp:rsid wsp:val=&quot;002622C0&quot;/&gt;&lt;wsp:rsid wsp:val=&quot;002778AE&quot;/&gt;&lt;wsp:rsid wsp:val=&quot;0028269A&quot;/&gt;&lt;wsp:rsid wsp:val=&quot;00283590&quot;/&gt;&lt;wsp:rsid wsp:val=&quot;00286973&quot;/&gt;&lt;wsp:rsid wsp:val=&quot;00294E70&quot;/&gt;&lt;wsp:rsid wsp:val=&quot;002A1924&quot;/&gt;&lt;wsp:rsid wsp:val=&quot;002A7420&quot;/&gt;&lt;wsp:rsid wsp:val=&quot;002B0F12&quot;/&gt;&lt;wsp:rsid wsp:val=&quot;002B1308&quot;/&gt;&lt;wsp:rsid wsp:val=&quot;002B4554&quot;/&gt;&lt;wsp:rsid wsp:val=&quot;002C72D8&quot;/&gt;&lt;wsp:rsid wsp:val=&quot;002D11FA&quot;/&gt;&lt;wsp:rsid wsp:val=&quot;002E0DDF&quot;/&gt;&lt;wsp:rsid wsp:val=&quot;002E1FB1&quot;/&gt;&lt;wsp:rsid wsp:val=&quot;002E2906&quot;/&gt;&lt;wsp:rsid wsp:val=&quot;002E5635&quot;/&gt;&lt;wsp:rsid wsp:val=&quot;002E64C3&quot;/&gt;&lt;wsp:rsid wsp:val=&quot;002E6A2C&quot;/&gt;&lt;wsp:rsid wsp:val=&quot;002F1D8C&quot;/&gt;&lt;wsp:rsid wsp:val=&quot;002F21DA&quot;/&gt;&lt;wsp:rsid wsp:val=&quot;002F74B2&quot;/&gt;&lt;wsp:rsid wsp:val=&quot;00301F39&quot;/&gt;&lt;wsp:rsid wsp:val=&quot;00305F1A&quot;/&gt;&lt;wsp:rsid wsp:val=&quot;00325926&quot;/&gt;&lt;wsp:rsid wsp:val=&quot;00327A8A&quot;/&gt;&lt;wsp:rsid wsp:val=&quot;00333436&quot;/&gt;&lt;wsp:rsid wsp:val=&quot;00336610&quot;/&gt;&lt;wsp:rsid wsp:val=&quot;00343F73&quot;/&gt;&lt;wsp:rsid wsp:val=&quot;00345060&quot;/&gt;&lt;wsp:rsid wsp:val=&quot;0035323B&quot;/&gt;&lt;wsp:rsid wsp:val=&quot;003609D2&quot;/&gt;&lt;wsp:rsid wsp:val=&quot;00363F22&quot;/&gt;&lt;wsp:rsid wsp:val=&quot;00375564&quot;/&gt;&lt;wsp:rsid wsp:val=&quot;00383191&quot;/&gt;&lt;wsp:rsid wsp:val=&quot;00386DED&quot;/&gt;&lt;wsp:rsid wsp:val=&quot;003912E7&quot;/&gt;&lt;wsp:rsid wsp:val=&quot;00393947&quot;/&gt;&lt;wsp:rsid wsp:val=&quot;003969B3&quot;/&gt;&lt;wsp:rsid wsp:val=&quot;003A2275&quot;/&gt;&lt;wsp:rsid wsp:val=&quot;003A6A4F&quot;/&gt;&lt;wsp:rsid wsp:val=&quot;003A7088&quot;/&gt;&lt;wsp:rsid wsp:val=&quot;003B00DF&quot;/&gt;&lt;wsp:rsid wsp:val=&quot;003B1275&quot;/&gt;&lt;wsp:rsid wsp:val=&quot;003B1778&quot;/&gt;&lt;wsp:rsid wsp:val=&quot;003C11CB&quot;/&gt;&lt;wsp:rsid wsp:val=&quot;003C18B7&quot;/&gt;&lt;wsp:rsid wsp:val=&quot;003C75F3&quot;/&gt;&lt;wsp:rsid wsp:val=&quot;003C78A3&quot;/&gt;&lt;wsp:rsid wsp:val=&quot;003E1867&quot;/&gt;&lt;wsp:rsid wsp:val=&quot;003E5729&quot;/&gt;&lt;wsp:rsid wsp:val=&quot;003F4EE0&quot;/&gt;&lt;wsp:rsid wsp:val=&quot;00402153&quot;/&gt;&lt;wsp:rsid wsp:val=&quot;00402FC1&quot;/&gt;&lt;wsp:rsid wsp:val=&quot;0041783D&quot;/&gt;&lt;wsp:rsid wsp:val=&quot;00425082&quot;/&gt;&lt;wsp:rsid wsp:val=&quot;00431DEB&quot;/&gt;&lt;wsp:rsid wsp:val=&quot;00446B29&quot;/&gt;&lt;wsp:rsid wsp:val=&quot;00453F9A&quot;/&gt;&lt;wsp:rsid wsp:val=&quot;00471E91&quot;/&gt;&lt;wsp:rsid wsp:val=&quot;00474675&quot;/&gt;&lt;wsp:rsid wsp:val=&quot;0047470C&quot;/&gt;&lt;wsp:rsid wsp:val=&quot;00497D2C&quot;/&gt;&lt;wsp:rsid wsp:val=&quot;004A35F9&quot;/&gt;&lt;wsp:rsid wsp:val=&quot;004B24C1&quot;/&gt;&lt;wsp:rsid wsp:val=&quot;004B36E8&quot;/&gt;&lt;wsp:rsid wsp:val=&quot;004C292F&quot;/&gt;&lt;wsp:rsid wsp:val=&quot;004F0284&quot;/&gt;&lt;wsp:rsid wsp:val=&quot;004F208F&quot;/&gt;&lt;wsp:rsid wsp:val=&quot;00510280&quot;/&gt;&lt;wsp:rsid wsp:val=&quot;00513D73&quot;/&gt;&lt;wsp:rsid wsp:val=&quot;00514A43&quot;/&gt;&lt;wsp:rsid wsp:val=&quot;005174E5&quot;/&gt;&lt;wsp:rsid wsp:val=&quot;00521CE8&quot;/&gt;&lt;wsp:rsid wsp:val=&quot;00522393&quot;/&gt;&lt;wsp:rsid wsp:val=&quot;00522620&quot;/&gt;&lt;wsp:rsid wsp:val=&quot;00525656&quot;/&gt;&lt;wsp:rsid wsp:val=&quot;00534C02&quot;/&gt;&lt;wsp:rsid wsp:val=&quot;005359E7&quot;/&gt;&lt;wsp:rsid wsp:val=&quot;0054264B&quot;/&gt;&lt;wsp:rsid wsp:val=&quot;00543786&quot;/&gt;&lt;wsp:rsid wsp:val=&quot;005533D7&quot;/&gt;&lt;wsp:rsid wsp:val=&quot;005703DE&quot;/&gt;&lt;wsp:rsid wsp:val=&quot;0058464E&quot;/&gt;&lt;wsp:rsid wsp:val=&quot;005854F3&quot;/&gt;&lt;wsp:rsid wsp:val=&quot;005A01CB&quot;/&gt;&lt;wsp:rsid wsp:val=&quot;005A3249&quot;/&gt;&lt;wsp:rsid wsp:val=&quot;005A58FF&quot;/&gt;&lt;wsp:rsid wsp:val=&quot;005A5EAF&quot;/&gt;&lt;wsp:rsid wsp:val=&quot;005A64C0&quot;/&gt;&lt;wsp:rsid wsp:val=&quot;005B3C11&quot;/&gt;&lt;wsp:rsid wsp:val=&quot;005C1C28&quot;/&gt;&lt;wsp:rsid wsp:val=&quot;005C6DB5&quot;/&gt;&lt;wsp:rsid wsp:val=&quot;005E19E7&quot;/&gt;&lt;wsp:rsid wsp:val=&quot;0061716C&quot;/&gt;&lt;wsp:rsid wsp:val=&quot;006243A1&quot;/&gt;&lt;wsp:rsid wsp:val=&quot;00632E56&quot;/&gt;&lt;wsp:rsid wsp:val=&quot;00635CBA&quot;/&gt;&lt;wsp:rsid wsp:val=&quot;0064338B&quot;/&gt;&lt;wsp:rsid wsp:val=&quot;00646542&quot;/&gt;&lt;wsp:rsid wsp:val=&quot;006504F4&quot;/&gt;&lt;wsp:rsid wsp:val=&quot;00654BC9&quot;/&gt;&lt;wsp:rsid wsp:val=&quot;006552FD&quot;/&gt;&lt;wsp:rsid wsp:val=&quot;00663AF3&quot;/&gt;&lt;wsp:rsid wsp:val=&quot;00666B6C&quot;/&gt;&lt;wsp:rsid wsp:val=&quot;00682682&quot;/&gt;&lt;wsp:rsid wsp:val=&quot;00682702&quot;/&gt;&lt;wsp:rsid wsp:val=&quot;00692368&quot;/&gt;&lt;wsp:rsid wsp:val=&quot;006A2EBC&quot;/&gt;&lt;wsp:rsid wsp:val=&quot;006A5EA0&quot;/&gt;&lt;wsp:rsid wsp:val=&quot;006A783B&quot;/&gt;&lt;wsp:rsid wsp:val=&quot;006A7B33&quot;/&gt;&lt;wsp:rsid wsp:val=&quot;006B4E13&quot;/&gt;&lt;wsp:rsid wsp:val=&quot;006B75DD&quot;/&gt;&lt;wsp:rsid wsp:val=&quot;006C67E0&quot;/&gt;&lt;wsp:rsid wsp:val=&quot;006C7ABA&quot;/&gt;&lt;wsp:rsid wsp:val=&quot;006D0D60&quot;/&gt;&lt;wsp:rsid wsp:val=&quot;006D1122&quot;/&gt;&lt;wsp:rsid wsp:val=&quot;006D3C00&quot;/&gt;&lt;wsp:rsid wsp:val=&quot;006E3675&quot;/&gt;&lt;wsp:rsid wsp:val=&quot;006E4A7F&quot;/&gt;&lt;wsp:rsid wsp:val=&quot;00704DF6&quot;/&gt;&lt;wsp:rsid wsp:val=&quot;00705C97&quot;/&gt;&lt;wsp:rsid wsp:val=&quot;0070651C&quot;/&gt;&lt;wsp:rsid wsp:val=&quot;007132A3&quot;/&gt;&lt;wsp:rsid wsp:val=&quot;00716421&quot;/&gt;&lt;wsp:rsid wsp:val=&quot;00724EFB&quot;/&gt;&lt;wsp:rsid wsp:val=&quot;007419C3&quot;/&gt;&lt;wsp:rsid wsp:val=&quot;007467A7&quot;/&gt;&lt;wsp:rsid wsp:val=&quot;007469DD&quot;/&gt;&lt;wsp:rsid wsp:val=&quot;0074741B&quot;/&gt;&lt;wsp:rsid wsp:val=&quot;0074759E&quot;/&gt;&lt;wsp:rsid wsp:val=&quot;007478EA&quot;/&gt;&lt;wsp:rsid wsp:val=&quot;0075415C&quot;/&gt;&lt;wsp:rsid wsp:val=&quot;007575DC&quot;/&gt;&lt;wsp:rsid wsp:val=&quot;00763502&quot;/&gt;&lt;wsp:rsid wsp:val=&quot;007913AB&quot;/&gt;&lt;wsp:rsid wsp:val=&quot;007914F7&quot;/&gt;&lt;wsp:rsid wsp:val=&quot;007B1625&quot;/&gt;&lt;wsp:rsid wsp:val=&quot;007B706E&quot;/&gt;&lt;wsp:rsid wsp:val=&quot;007B71EB&quot;/&gt;&lt;wsp:rsid wsp:val=&quot;007C6205&quot;/&gt;&lt;wsp:rsid wsp:val=&quot;007C686A&quot;/&gt;&lt;wsp:rsid wsp:val=&quot;007C728E&quot;/&gt;&lt;wsp:rsid wsp:val=&quot;007D2C53&quot;/&gt;&lt;wsp:rsid wsp:val=&quot;007D3D60&quot;/&gt;&lt;wsp:rsid wsp:val=&quot;007E1980&quot;/&gt;&lt;wsp:rsid wsp:val=&quot;007E4B76&quot;/&gt;&lt;wsp:rsid wsp:val=&quot;007E5EA8&quot;/&gt;&lt;wsp:rsid wsp:val=&quot;007F0CF1&quot;/&gt;&lt;wsp:rsid wsp:val=&quot;007F12A5&quot;/&gt;&lt;wsp:rsid wsp:val=&quot;007F4CF1&quot;/&gt;&lt;wsp:rsid wsp:val=&quot;007F6B79&quot;/&gt;&lt;wsp:rsid wsp:val=&quot;007F758D&quot;/&gt;&lt;wsp:rsid wsp:val=&quot;007F7D52&quot;/&gt;&lt;wsp:rsid wsp:val=&quot;0080654C&quot;/&gt;&lt;wsp:rsid wsp:val=&quot;008071C6&quot;/&gt;&lt;wsp:rsid wsp:val=&quot;00817A00&quot;/&gt;&lt;wsp:rsid wsp:val=&quot;00835DB3&quot;/&gt;&lt;wsp:rsid wsp:val=&quot;0083617B&quot;/&gt;&lt;wsp:rsid wsp:val=&quot;008371BD&quot;/&gt;&lt;wsp:rsid wsp:val=&quot;008472C4&quot;/&gt;&lt;wsp:rsid wsp:val=&quot;008504A8&quot;/&gt;&lt;wsp:rsid wsp:val=&quot;0085282E&quot;/&gt;&lt;wsp:rsid wsp:val=&quot;00863408&quot;/&gt;&lt;wsp:rsid wsp:val=&quot;0087198C&quot;/&gt;&lt;wsp:rsid wsp:val=&quot;00872C1F&quot;/&gt;&lt;wsp:rsid wsp:val=&quot;00873B42&quot;/&gt;&lt;wsp:rsid wsp:val=&quot;008856D8&quot;/&gt;&lt;wsp:rsid wsp:val=&quot;00892E82&quot;/&gt;&lt;wsp:rsid wsp:val=&quot;008C1B58&quot;/&gt;&lt;wsp:rsid wsp:val=&quot;008C39AE&quot;/&gt;&lt;wsp:rsid wsp:val=&quot;008C3F88&quot;/&gt;&lt;wsp:rsid wsp:val=&quot;008C590D&quot;/&gt;&lt;wsp:rsid wsp:val=&quot;008D4EA1&quot;/&gt;&lt;wsp:rsid wsp:val=&quot;008E031B&quot;/&gt;&lt;wsp:rsid wsp:val=&quot;008E7029&quot;/&gt;&lt;wsp:rsid wsp:val=&quot;008E7EF6&quot;/&gt;&lt;wsp:rsid wsp:val=&quot;008F1F98&quot;/&gt;&lt;wsp:rsid wsp:val=&quot;008F6758&quot;/&gt;&lt;wsp:rsid wsp:val=&quot;009040DD&quot;/&gt;&lt;wsp:rsid wsp:val=&quot;00905B47&quot;/&gt;&lt;wsp:rsid wsp:val=&quot;0091331C&quot;/&gt;&lt;wsp:rsid wsp:val=&quot;009279DE&quot;/&gt;&lt;wsp:rsid wsp:val=&quot;00930116&quot;/&gt;&lt;wsp:rsid wsp:val=&quot;0094212C&quot;/&gt;&lt;wsp:rsid wsp:val=&quot;00954689&quot;/&gt;&lt;wsp:rsid wsp:val=&quot;009617C9&quot;/&gt;&lt;wsp:rsid wsp:val=&quot;00961C93&quot;/&gt;&lt;wsp:rsid wsp:val=&quot;00962720&quot;/&gt;&lt;wsp:rsid wsp:val=&quot;00965324&quot;/&gt;&lt;wsp:rsid wsp:val=&quot;0097091E&quot;/&gt;&lt;wsp:rsid wsp:val=&quot;009760D3&quot;/&gt;&lt;wsp:rsid wsp:val=&quot;00977132&quot;/&gt;&lt;wsp:rsid wsp:val=&quot;00981A4B&quot;/&gt;&lt;wsp:rsid wsp:val=&quot;00982501&quot;/&gt;&lt;wsp:rsid wsp:val=&quot;009877D3&quot;/&gt;&lt;wsp:rsid wsp:val=&quot;00994E8F&quot;/&gt;&lt;wsp:rsid wsp:val=&quot;009951DC&quot;/&gt;&lt;wsp:rsid wsp:val=&quot;009959BB&quot;/&gt;&lt;wsp:rsid wsp:val=&quot;00997158&quot;/&gt;&lt;wsp:rsid wsp:val=&quot;009A3A7C&quot;/&gt;&lt;wsp:rsid wsp:val=&quot;009B2ADB&quot;/&gt;&lt;wsp:rsid wsp:val=&quot;009B603A&quot;/&gt;&lt;wsp:rsid wsp:val=&quot;009C2D0E&quot;/&gt;&lt;wsp:rsid wsp:val=&quot;009C3DAC&quot;/&gt;&lt;wsp:rsid wsp:val=&quot;009C42E0&quot;/&gt;&lt;wsp:rsid wsp:val=&quot;009D5362&quot;/&gt;&lt;wsp:rsid wsp:val=&quot;009E1415&quot;/&gt;&lt;wsp:rsid wsp:val=&quot;009E6116&quot;/&gt;&lt;wsp:rsid wsp:val=&quot;00A02E43&quot;/&gt;&lt;wsp:rsid wsp:val=&quot;00A065F9&quot;/&gt;&lt;wsp:rsid wsp:val=&quot;00A07F34&quot;/&gt;&lt;wsp:rsid wsp:val=&quot;00A22154&quot;/&gt;&lt;wsp:rsid wsp:val=&quot;00A25C38&quot;/&gt;&lt;wsp:rsid wsp:val=&quot;00A36BBE&quot;/&gt;&lt;wsp:rsid wsp:val=&quot;00A4307A&quot;/&gt;&lt;wsp:rsid wsp:val=&quot;00A43B09&quot;/&gt;&lt;wsp:rsid wsp:val=&quot;00A47EBB&quot;/&gt;&lt;wsp:rsid wsp:val=&quot;00A51CDD&quot;/&gt;&lt;wsp:rsid wsp:val=&quot;00A571FA&quot;/&gt;&lt;wsp:rsid wsp:val=&quot;00A6730D&quot;/&gt;&lt;wsp:rsid wsp:val=&quot;00A71625&quot;/&gt;&lt;wsp:rsid wsp:val=&quot;00A71B9B&quot;/&gt;&lt;wsp:rsid wsp:val=&quot;00A751C7&quot;/&gt;&lt;wsp:rsid wsp:val=&quot;00A87844&quot;/&gt;&lt;wsp:rsid wsp:val=&quot;00AA038C&quot;/&gt;&lt;wsp:rsid wsp:val=&quot;00AA7A09&quot;/&gt;&lt;wsp:rsid wsp:val=&quot;00AB3B50&quot;/&gt;&lt;wsp:rsid wsp:val=&quot;00AC05B1&quot;/&gt;&lt;wsp:rsid wsp:val=&quot;00AD356C&quot;/&gt;&lt;wsp:rsid wsp:val=&quot;00AE2914&quot;/&gt;&lt;wsp:rsid wsp:val=&quot;00AE5395&quot;/&gt;&lt;wsp:rsid wsp:val=&quot;00AE6D15&quot;/&gt;&lt;wsp:rsid wsp:val=&quot;00B04182&quot;/&gt;&lt;wsp:rsid wsp:val=&quot;00B07AE3&quot;/&gt;&lt;wsp:rsid wsp:val=&quot;00B11430&quot;/&gt;&lt;wsp:rsid wsp:val=&quot;00B353EB&quot;/&gt;&lt;wsp:rsid wsp:val=&quot;00B4228B&quot;/&gt;&lt;wsp:rsid wsp:val=&quot;00B439C4&quot;/&gt;&lt;wsp:rsid wsp:val=&quot;00B4535E&quot;/&gt;&lt;wsp:rsid wsp:val=&quot;00B5230C&quot;/&gt;&lt;wsp:rsid wsp:val=&quot;00B52A8C&quot;/&gt;&lt;wsp:rsid wsp:val=&quot;00B636A8&quot;/&gt;&lt;wsp:rsid wsp:val=&quot;00B665C6&quot;/&gt;&lt;wsp:rsid wsp:val=&quot;00B66EE1&quot;/&gt;&lt;wsp:rsid wsp:val=&quot;00B805AF&quot;/&gt;&lt;wsp:rsid wsp:val=&quot;00B869EC&quot;/&gt;&lt;wsp:rsid wsp:val=&quot;00B9135E&quot;/&gt;&lt;wsp:rsid wsp:val=&quot;00B9397A&quot;/&gt;&lt;wsp:rsid wsp:val=&quot;00B9633D&quot;/&gt;&lt;wsp:rsid wsp:val=&quot;00BA2EBE&quot;/&gt;&lt;wsp:rsid wsp:val=&quot;00BB0F28&quot;/&gt;&lt;wsp:rsid wsp:val=&quot;00BB458A&quot;/&gt;&lt;wsp:rsid wsp:val=&quot;00BD00D3&quot;/&gt;&lt;wsp:rsid wsp:val=&quot;00BD1659&quot;/&gt;&lt;wsp:rsid wsp:val=&quot;00BD3AA9&quot;/&gt;&lt;wsp:rsid wsp:val=&quot;00BD4A18&quot;/&gt;&lt;wsp:rsid wsp:val=&quot;00BD6DB2&quot;/&gt;&lt;wsp:rsid wsp:val=&quot;00BE11CF&quot;/&gt;&lt;wsp:rsid wsp:val=&quot;00BE21AB&quot;/&gt;&lt;wsp:rsid wsp:val=&quot;00BE55CB&quot;/&gt;&lt;wsp:rsid wsp:val=&quot;00BF617A&quot;/&gt;&lt;wsp:rsid wsp:val=&quot;00C0379D&quot;/&gt;&lt;wsp:rsid wsp:val=&quot;00C03931&quot;/&gt;&lt;wsp:rsid wsp:val=&quot;00C05FE3&quot;/&gt;&lt;wsp:rsid wsp:val=&quot;00C2136D&quot;/&gt;&lt;wsp:rsid wsp:val=&quot;00C214EE&quot;/&gt;&lt;wsp:rsid wsp:val=&quot;00C2314B&quot;/&gt;&lt;wsp:rsid wsp:val=&quot;00C24971&quot;/&gt;&lt;wsp:rsid wsp:val=&quot;00C26BE5&quot;/&gt;&lt;wsp:rsid wsp:val=&quot;00C26E4D&quot;/&gt;&lt;wsp:rsid wsp:val=&quot;00C27909&quot;/&gt;&lt;wsp:rsid wsp:val=&quot;00C27B03&quot;/&gt;&lt;wsp:rsid wsp:val=&quot;00C314E1&quot;/&gt;&lt;wsp:rsid wsp:val=&quot;00C31DA9&quot;/&gt;&lt;wsp:rsid wsp:val=&quot;00C34397&quot;/&gt;&lt;wsp:rsid wsp:val=&quot;00C4095D&quot;/&gt;&lt;wsp:rsid wsp:val=&quot;00C601D2&quot;/&gt;&lt;wsp:rsid wsp:val=&quot;00C657AB&quot;/&gt;&lt;wsp:rsid wsp:val=&quot;00C65BCC&quot;/&gt;&lt;wsp:rsid wsp:val=&quot;00C66970&quot;/&gt;&lt;wsp:rsid wsp:val=&quot;00C8691C&quot;/&gt;&lt;wsp:rsid wsp:val=&quot;00CA168A&quot;/&gt;&lt;wsp:rsid wsp:val=&quot;00CA357E&quot;/&gt;&lt;wsp:rsid wsp:val=&quot;00CA44F9&quot;/&gt;&lt;wsp:rsid wsp:val=&quot;00CA4A69&quot;/&gt;&lt;wsp:rsid wsp:val=&quot;00CC3E0C&quot;/&gt;&lt;wsp:rsid wsp:val=&quot;00CC58D3&quot;/&gt;&lt;wsp:rsid wsp:val=&quot;00CC784D&quot;/&gt;&lt;wsp:rsid wsp:val=&quot;00CC79B1&quot;/&gt;&lt;wsp:rsid wsp:val=&quot;00CE39AE&quot;/&gt;&lt;wsp:rsid wsp:val=&quot;00D0337B&quot;/&gt;&lt;wsp:rsid wsp:val=&quot;00D079B2&quot;/&gt;&lt;wsp:rsid wsp:val=&quot;00D114E9&quot;/&gt;&lt;wsp:rsid wsp:val=&quot;00D17371&quot;/&gt;&lt;wsp:rsid wsp:val=&quot;00D429C6&quot;/&gt;&lt;wsp:rsid wsp:val=&quot;00D47748&quot;/&gt;&lt;wsp:rsid wsp:val=&quot;00D54CC3&quot;/&gt;&lt;wsp:rsid wsp:val=&quot;00D6041A&quot;/&gt;&lt;wsp:rsid wsp:val=&quot;00D633EB&quot;/&gt;&lt;wsp:rsid wsp:val=&quot;00D7545D&quot;/&gt;&lt;wsp:rsid wsp:val=&quot;00D82FF7&quot;/&gt;&lt;wsp:rsid wsp:val=&quot;00D847FE&quot;/&gt;&lt;wsp:rsid wsp:val=&quot;00D964EA&quot;/&gt;&lt;wsp:rsid wsp:val=&quot;00D966D0&quot;/&gt;&lt;wsp:rsid wsp:val=&quot;00D96CBE&quot;/&gt;&lt;wsp:rsid wsp:val=&quot;00DA0C59&quot;/&gt;&lt;wsp:rsid wsp:val=&quot;00DA3991&quot;/&gt;&lt;wsp:rsid wsp:val=&quot;00DB7E6C&quot;/&gt;&lt;wsp:rsid wsp:val=&quot;00DD5A29&quot;/&gt;&lt;wsp:rsid wsp:val=&quot;00DD5D9D&quot;/&gt;&lt;wsp:rsid wsp:val=&quot;00DD73C1&quot;/&gt;&lt;wsp:rsid wsp:val=&quot;00DE35CB&quot;/&gt;&lt;wsp:rsid wsp:val=&quot;00DF21E9&quot;/&gt;&lt;wsp:rsid wsp:val=&quot;00E00F14&quot;/&gt;&lt;wsp:rsid wsp:val=&quot;00E06386&quot;/&gt;&lt;wsp:rsid wsp:val=&quot;00E24EB4&quot;/&gt;&lt;wsp:rsid wsp:val=&quot;00E320ED&quot;/&gt;&lt;wsp:rsid wsp:val=&quot;00E33AFB&quot;/&gt;&lt;wsp:rsid wsp:val=&quot;00E34218&quot;/&gt;&lt;wsp:rsid wsp:val=&quot;00E46282&quot;/&gt;&lt;wsp:rsid wsp:val=&quot;00E5216E&quot;/&gt;&lt;wsp:rsid wsp:val=&quot;00E54BF1&quot;/&gt;&lt;wsp:rsid wsp:val=&quot;00E714CD&quot;/&gt;&lt;wsp:rsid wsp:val=&quot;00E82344&quot;/&gt;&lt;wsp:rsid wsp:val=&quot;00E84C82&quot;/&gt;&lt;wsp:rsid wsp:val=&quot;00E84D64&quot;/&gt;&lt;wsp:rsid wsp:val=&quot;00E87408&quot;/&gt;&lt;wsp:rsid wsp:val=&quot;00E914C4&quot;/&gt;&lt;wsp:rsid wsp:val=&quot;00E934F5&quot;/&gt;&lt;wsp:rsid wsp:val=&quot;00E96961&quot;/&gt;&lt;wsp:rsid wsp:val=&quot;00EA72EC&quot;/&gt;&lt;wsp:rsid wsp:val=&quot;00EB11CB&quot;/&gt;&lt;wsp:rsid wsp:val=&quot;00EB275A&quot;/&gt;&lt;wsp:rsid wsp:val=&quot;00EB562C&quot;/&gt;&lt;wsp:rsid wsp:val=&quot;00EB786A&quot;/&gt;&lt;wsp:rsid wsp:val=&quot;00EC1578&quot;/&gt;&lt;wsp:rsid wsp:val=&quot;00EC1C72&quot;/&gt;&lt;wsp:rsid wsp:val=&quot;00EC3CC9&quot;/&gt;&lt;wsp:rsid wsp:val=&quot;00EC680A&quot;/&gt;&lt;wsp:rsid wsp:val=&quot;00EE2BED&quot;/&gt;&lt;wsp:rsid wsp:val=&quot;00EE374B&quot;/&gt;&lt;wsp:rsid wsp:val=&quot;00F11BB5&quot;/&gt;&lt;wsp:rsid wsp:val=&quot;00F1417B&quot;/&gt;&lt;wsp:rsid wsp:val=&quot;00F34B99&quot;/&gt;&lt;wsp:rsid wsp:val=&quot;00F43A0E&quot;/&gt;&lt;wsp:rsid wsp:val=&quot;00F52DAB&quot;/&gt;&lt;wsp:rsid wsp:val=&quot;00F543F0&quot;/&gt;&lt;wsp:rsid wsp:val=&quot;00F6443D&quot;/&gt;&lt;wsp:rsid wsp:val=&quot;00F81D29&quot;/&gt;&lt;wsp:rsid wsp:val=&quot;00F91C4D&quot;/&gt;&lt;wsp:rsid wsp:val=&quot;00F92FD9&quot;/&gt;&lt;wsp:rsid wsp:val=&quot;00FA6684&quot;/&gt;&lt;wsp:rsid wsp:val=&quot;00FA731E&quot;/&gt;&lt;wsp:rsid wsp:val=&quot;00FB2B38&quot;/&gt;&lt;wsp:rsid wsp:val=&quot;00FB3346&quot;/&gt;&lt;wsp:rsid wsp:val=&quot;00FC6358&quot;/&gt;&lt;wsp:rsid wsp:val=&quot;00FD320D&quot;/&gt;&lt;wsp:rsid wsp:val=&quot;00FE23DE&quot;/&gt;&lt;/wsp:rsids&gt;&lt;/w:docPr&gt;&lt;w:body&gt;&lt;wx:sect&gt;&lt;w:p wsp:rsidR=&quot;00D17371&quot; wsp:rsidRDefault=&quot;00D17371&quot; wsp:rsidP=&quot;00D17371&quot;&gt;&lt;m:oMathPara&gt;&lt;m:oMath&gt;&lt;m:r&gt;&lt;w:rPr&gt;&lt;w:rFonts w:ascii=&quot;Cambria Math&quot;/&gt;&lt;wx:font wx:val=&quot;Cambria Math&quot;/&gt;&lt;w:i/&gt;&lt;/w:rPr&gt;&lt;m:t&gt;蠅=&lt;/m:t&gt;&lt;/m:r&gt;&lt;m:sSub&gt;&lt;m:sSubPr&gt;&lt;m:ctrlPr&gt;&lt;w:rPr&gt;&lt;w:rFonts w:ascii=&quot;Cambria Math&quot;/&gt;&lt;wx:font wx:val=&quot;Cambria Math&quot;/&gt;&lt;w:i/&gt;&lt;/w:rPr&gt;&lt;/m:ctrlPr&gt;&lt;/tttttm:sSubPr&gt;&lt;m:e&gt;&lt;m:r&gt;&lt;w:rPr&gt;&lt;w:rFonts w:ascii=&quot;Cambria Math&quot;/&gt;&lt;wx:font wx:val=&quot;Cambria Math&quot;/&gt;&lt;w:i/&gt;&lt;/w:rPr&gt;&lt;m:t&gt;蠅&lt;/m:t&gt;&lt;/m:r&gt;&lt;/m:e&gt;&lt;m:sub&gt;&lt;m:r&gt;&lt;w:rPr&gt;&lt;w:rFonts w:ascii=&quot;Cambria Math&quot;/&gt;&lt;wx:font wx:val=&quot;Cambria Math&quot;/&gt;&lt;w:i/&gt;&lt;/w:rPr&gt;&lt;m:t&gt;1&lt;/m:t&gt;&lt;/m:r&gt;&lt;/mt:tstutbt&gt;&lt;/m:sSub&gt;&lt;m:r&gt;&lt;w:rPr&gt;&lt;w:rFonts w:ascii=&quot;Cambria Math&quot;/&gt;&lt;wx:font wx:val=&quot;Cambria Math&quot;/&gt;&lt;w:i/&gt;&lt;/w:rPr&gt;&lt;m:t&gt;+&lt;/m:t&gt;&lt;/m:r&gt;&lt;m:sSub&gt;&lt;m:sSubPr&gt;&lt;m:ctrlPr&gt;&lt;w:rPr&gt;&lt;w:rFonts w:ascii=&quot;Cambria Math&quot;/&gt;&lt;wx:font wx:val=&quot;Cambria Math&quot;/&gt;&lt;w:i/&gt;&lt;/w:rPr&gt;&lt;/m:ctrlPr&gt;&lt;/m:sSubPr&gt;&lt;m:e&gt;&lt;m:r&gt;&lt;w:rPr&gt;&lt;w:rFonts w:ascii=&quot;Cambria Math&quot;/&gt;&lt;wx:font wx:val=&quot;Cambria Math&quot;/&gt;&lt;w:i/&gt;&lt;/w:rPr&gt;&lt;m:t&gt;蠅&lt;/m:t&gt;&lt;/m:r&gt;&lt;/m:e&gt;&lt;m:sub&gt;&lt;m:r&gt;&lt;w:rPr&gt;&lt;w:rFonts w:ascii=&quot;Cambria Math&quot;/&gt;&lt;wx:font wx:val=&quot;Cambria Math&quot;/&gt;&lt;w:i/&gt;&lt;/w:rPr&gt;&lt;m:t&gt;2&lt;/m:t&gt;&lt;/m:r&gt;&lt;/m:su&lt;b&gt;m&lt;/sm:usSPub&gt;&lt;m:r&gt;&lt;w:rPr&gt;&lt;w:rFonts w:ascii=&quot;Cambria Math&quot;/&gt;&lt;w:i/&gt;&lt;/w:rPr&gt;&lt;m:t&gt;脳&lt;/m:t&gt;&lt;/m:r&gt;&lt;m:r&gt;&lt;w:rPr&gt;&lt;w:rFonts w:ascii=&quot;Cambria Math&quot;/&gt;&lt;wx:font wx:val=&quot;Cambria Math&quot;/&gt;&lt;w:i/&gt;&lt;/w:rPr&gt;&lt;m:t&gt;0.0662+&lt;/m:t&gt;&lt;/m:r&gt;&lt;m:sSub&gt;&lt;m:sSubPr&gt;&lt;m:ctrlPr&gt;&lt;w:rPr&gt;&lt;w:rFonts &lt;w:amscisi=&quot;uCamPbria Math&quot;/&gt;&lt;wx:font wx:val=&quot;Cambria Math&quot;/&gt;&lt;w:i/&gt;&lt;/w:rPr&gt;&lt;/m:ctrlPr&gt;&lt;/m:sSubPr&gt;&lt;m:e&gt;&lt;m:r&gt;&lt;w:rPr&gt;&lt;w:rFonts w:ascii=&quot;Cambria Math&quot;/&gt;&lt;wx:font wx:val=&quot;Cambria Math&quot;/&gt;&lt;w:i/&gt;&lt;/w:rPr&gt;&lt;m:t&gt;蠅&lt;/m:t&gt;&lt;/m:r&gt;&lt;/m:e&gt;&lt;m:sub&gt;&lt;m:r&gt;&lt;w:rPr&gt;&lt;w:rFonts w:ascii=&lt;&quot;Cammbrias Matuh&quot;/&gt;P&lt;wx:font wx:val=&quot;Cambria Math&quot;/&gt;&lt;w:i/&gt;&lt;/w:rPr&gt;&lt;m:t&gt;3&lt;/m:t&gt;&lt;/m:r&gt;&lt;/m:sub&gt;&lt;/m:sSub&gt;&lt;m:r&gt;&lt;w:rPr&gt;&lt;w:rFonts w:ascii=&quot;Cambria Math&quot;/&gt;&lt;w:i/&gt;&lt;/w:rPr&gt;&lt;m:t&gt;脳&lt;/m:t&gt;&lt;/m:r&gt;&lt;m:r&gt;&lt;w:rPr&gt;&lt;w:rFonts w:ascii=&quot;Cambria Math&quot;/&gt;&lt;wx:font wx:val=&quot;Cambria Math&lt;&quot;/&gt;&lt;wm:i/&gt;&lt;s/w:rPur&gt;&lt;m:Pt&gt;0.1497+&lt;/m:t&gt;&lt;/m:r&gt;&lt;m:sSub&gt;&lt;m:sSubPr&gt;&lt;m:ctrlPr&gt;&lt;w:rPr&gt;&lt;w:rFonts w:ascii=&quot;Cambria Math&quot;/&gt;&lt;wx:font wx:val=&quot;Cambria Math&quot;/&gt;&lt;w:i/&gt;&lt;/w:rPr&gt;&lt;/m:ctrlPr&gt;&lt;/m:sSubPr&gt;&lt;m:e&gt;&lt;m:r&gt;&lt;w:rPr&gt;&lt;w:rFonts w:ascii=&quot;Cambria Math&quot;/&gt;&lt;wx:font wx:val=&quot;Cambria Math&quot;/&gt;&lt;w:i/&gt;&lt;/w:rPr&gt;&lt;m:t&gt;蠅&lt;/m:t&gt;&lt;/m:r&gt;&lt;/m:e&gt;&lt;m:sub&gt;&lt;m:r&gt;&lt;w:rPr&gt;&lt;w:rFonts w:ascii=&quot;Cambria Math&quot;/&gt;&lt;wx:font wx:val=&quot;Cambria Math&quot;/&gt;&lt;w:i/&gt;&lt;/w:rPr&gt;&lt;m:t&gt;4&lt;/m:t&gt;&lt;/m:r&gt;&lt;/m:sub&gt;&lt;/m:sSub&gt;&lt;m:r&gt;&lt;w:rPr&gt;&lt;w:rFonts w:ascii=&quot;Cambria Math&quot;/&gt;&lt;w:i/&gt;&lt;/w:rPr&gt;&lt;m:t&gt;脳&lt;/m:tbr&gt;&lt;/m:rat&gt;&lt;m:r&gt;&lt;w&lt;w:rPr&lt;/&gt;&lt;w:rFr&gt;onts w:ascii=&quot;Cambria Math&quot;/&gt;&lt;wx:font wx:val=&quot;Cambria Math&quot;/&gt;&lt;w:i/&gt;&lt;/w:rPr&gt;&lt;m:t&gt;0.3246+&lt;/m:t&gt;&lt;/m:r&gt;&lt;m:sSub&gt;&lt;m:sSubPr&gt;&lt;m:ctrlPr&gt;&lt;w:rPr&gt;&lt;w:rFonts w:ascii=&quot;Cambria Math&quot;/&gt;&lt;wx:font wx:val=&quot;Cambria Math&quot;/&gt;&lt;w:i/&gt;&lt;/w:rPr&gt;&lt;/m:ctrlPr&gt;&lt;/m:sSubPr&gt;&lt;m:e&gt;&lt;m:r&gt;&lt;w:rPr&gt;&lt;w:rFonts w:ascii=&quot;Cambria Math&quot;/&gt;&lt;wx:font wx:val=&quot;Cambria Math&quot;/&gt;&lt;w:i/&gt;&lt;/w:rPr&gt;&lt;m:t&gt;蠅&lt;/m:t&gt;&lt;/m:r&gt;&lt;/m:e&gt;&lt;m:sub&gt;&lt;m:r&gt;&lt;w:rPr&gt;&lt;w:rFonts w:ascii=&quot;Cambria Math&quot;/&gt;&lt;wx:font wx:val=&quot;Cambria Math&quot;/&gt;&lt;w:i/&gt;&lt;/w:rPr&gt;&lt;m:t&gt;5&lt;/m:t&gt;&lt;/m:r&gt;&lt;/mP:sub&gt;&lt;/mS:sSub&gt;&lt;m::r&gt;&lt;w:rP&lt;r&gt;&lt;w:rFownts w:ascii=&quot;Cambria Math&quot;/&gt;&lt;w:i/&gt;&lt;/w:rPr&gt;&lt;m:t&gt;脳&lt;/m:t&gt;&lt;/m:r&gt;&lt;m:r&gt;&lt;w:rPr&gt;&lt;w:rFonts w:ascii=&quot;Cambria Math&quot;/&gt;&lt;wx:font wx:val=&quot;Cambria Math&quot;/&gt;&lt;w:i/&gt;&lt;/w:rPr&gt;&lt;m:t&gt;0.3784&lt;/m:t&gt;&lt;/m:r&gt;&lt;/m:oMath&gt;&lt;/m:oMathPara&gt;&lt;/w:p&gt;&lt;w:sectPr wspP:rsidR=&quot;0S0000000&quot;&gt;:&lt;w:pgSz w&lt;:w=&quot;12240w&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 chromakey="#FFFFFF" o:title=""/>
            <o:lock v:ext="edit" aspectratio="t"/>
            <w10:wrap type="none"/>
            <w10:anchorlock/>
          </v:shape>
        </w:pict>
      </w:r>
      <w:r>
        <w:instrText xml:space="preserve"> </w:instrText>
      </w:r>
      <w:r>
        <w:fldChar w:fldCharType="separate"/>
      </w:r>
      <w:r>
        <w:fldChar w:fldCharType="end"/>
      </w:r>
      <w:r>
        <w:fldChar w:fldCharType="begin"/>
      </w:r>
      <w:r>
        <w:instrText xml:space="preserve"> QUOTE </w:instrText>
      </w:r>
      <w:r>
        <w:rPr>
          <w:position w:val="-8"/>
        </w:rPr>
        <w:pict>
          <v:shape id="_x0000_i1026" o:spt="75" type="#_x0000_t75" style="height:15.9pt;width:306.5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sdtfl=&quot;http://schemas.microsoft.com/office/word/2024/wordml/sdtformatlock&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035925&quot;/&gt;&lt;wsp:rsid wsp:val=&quot;00000244&quot;/&gt;&lt;wsp:rsid wsp:val=&quot;0000185F&quot;/&gt;&lt;wsp:rsid wsp:val=&quot;0000586F&quot;/&gt;&lt;wsp:rsid wsp:val=&quot;000076A3&quot;/&gt;&lt;wsp:rsid wsp:val=&quot;00013D86&quot;/&gt;&lt;wsp:rsid wsp:val=&quot;00013E02&quot;/&gt;&lt;wsp:rsid wsp:val=&quot;0002143C&quot;/&gt;&lt;wsp:rsid wsp:val=&quot;00025A65&quot;/&gt;&lt;wsp:rsid wsp:val=&quot;00026C31&quot;/&gt;&lt;wsp:rsid wsp:val=&quot;00027280&quot;/&gt;&lt;wsp:rsid wsp:val=&quot;000320A7&quot;/&gt;&lt;wsp:rsid wsp:val=&quot;00035925&quot;/&gt;&lt;wsp:rsid wsp:val=&quot;00067CDF&quot;/&gt;&lt;wsp:rsid wsp:val=&quot;00074FBE&quot;/&gt;&lt;wsp:rsid wsp:val=&quot;00083A09&quot;/&gt;&lt;wsp:rsid wsp:val=&quot;0009005E&quot;/&gt;&lt;wsp:rsid wsp:val=&quot;00092857&quot;/&gt;&lt;wsp:rsid wsp:val=&quot;000A20A9&quot;/&gt;&lt;wsp:rsid wsp:val=&quot;000A48B1&quot;/&gt;&lt;wsp:rsid wsp:val=&quot;000B3143&quot;/&gt;&lt;wsp:rsid wsp:val=&quot;000C6B05&quot;/&gt;&lt;wsp:rsid wsp:val=&quot;000C6DD6&quot;/&gt;&lt;wsp:rsid wsp:val=&quot;000C73D4&quot;/&gt;&lt;wsp:rsid wsp:val=&quot;000D3D4C&quot;/&gt;&lt;wsp:rsid wsp:val=&quot;000D4F51&quot;/&gt;&lt;wsp:rsid wsp:val=&quot;000D718B&quot;/&gt;&lt;wsp:rsid wsp:val=&quot;000E0C46&quot;/&gt;&lt;wsp:rsid wsp:val=&quot;000F030C&quot;/&gt;&lt;wsp:rsid wsp:val=&quot;000F129C&quot;/&gt;&lt;wsp:rsid wsp:val=&quot;001047BB&quot;/&gt;&lt;wsp:rsid wsp:val=&quot;001056DE&quot;/&gt;&lt;wsp:rsid wsp:val=&quot;001124C0&quot;/&gt;&lt;wsp:rsid wsp:val=&quot;0013175F&quot;/&gt;&lt;wsp:rsid wsp:val=&quot;001512B4&quot;/&gt;&lt;wsp:rsid wsp:val=&quot;001620A5&quot;/&gt;&lt;wsp:rsid wsp:val=&quot;00164E53&quot;/&gt;&lt;wsp:rsid wsp:val=&quot;0016699D&quot;/&gt;&lt;wsp:rsid wsp:val=&quot;00175159&quot;/&gt;&lt;wsp:rsid wsp:val=&quot;00176208&quot;/&gt;&lt;wsp:rsid wsp:val=&quot;0018211B&quot;/&gt;&lt;wsp:rsid wsp:val=&quot;001840D3&quot;/&gt;&lt;wsp:rsid wsp:val=&quot;001900F8&quot;/&gt;&lt;wsp:rsid wsp:val=&quot;00191258&quot;/&gt;&lt;wsp:rsid wsp:val=&quot;00192680&quot;/&gt;&lt;wsp:rsid wsp:val=&quot;00193037&quot;/&gt;&lt;wsp:rsid wsp:val=&quot;00193A2C&quot;/&gt;&lt;wsp:rsid wsp:val=&quot;001A288E&quot;/&gt;&lt;wsp:rsid wsp:val=&quot;001B6DC2&quot;/&gt;&lt;wsp:rsid wsp:val=&quot;001C149C&quot;/&gt;&lt;wsp:rsid wsp:val=&quot;001C21AC&quot;/&gt;&lt;wsp:rsid wsp:val=&quot;001C47BA&quot;/&gt;&lt;wsp:rsid wsp:val=&quot;001C59EA&quot;/&gt;&lt;wsp:rsid wsp:val=&quot;001D406C&quot;/&gt;&lt;wsp:rsid wsp:val=&quot;001D41EE&quot;/&gt;&lt;wsp:rsid wsp:val=&quot;001E0380&quot;/&gt;&lt;wsp:rsid wsp:val=&quot;001E13B1&quot;/&gt;&lt;wsp:rsid wsp:val=&quot;001E5C3E&quot;/&gt;&lt;wsp:rsid wsp:val=&quot;001E681D&quot;/&gt;&lt;wsp:rsid wsp:val=&quot;001F3A19&quot;/&gt;&lt;wsp:rsid wsp:val=&quot;001F4A35&quot;/&gt;&lt;wsp:rsid wsp:val=&quot;00234467&quot;/&gt;&lt;wsp:rsid wsp:val=&quot;00237D8D&quot;/&gt;&lt;wsp:rsid wsp:val=&quot;00241DA2&quot;/&gt;&lt;wsp:rsid wsp:val=&quot;00244435&quot;/&gt;&lt;wsp:rsid wsp:val=&quot;00247FEE&quot;/&gt;&lt;wsp:rsid wsp:val=&quot;00250E7D&quot;/&gt;&lt;wsp:rsid wsp:val=&quot;002565D5&quot;/&gt;&lt;wsp:rsid wsp:val=&quot;002622C0&quot;/&gt;&lt;wsp:rsid wsp:val=&quot;002778AE&quot;/&gt;&lt;wsp:rsid wsp:val=&quot;0028269A&quot;/&gt;&lt;wsp:rsid wsp:val=&quot;00283590&quot;/&gt;&lt;wsp:rsid wsp:val=&quot;00286973&quot;/&gt;&lt;wsp:rsid wsp:val=&quot;00294E70&quot;/&gt;&lt;wsp:rsid wsp:val=&quot;002A1924&quot;/&gt;&lt;wsp:rsid wsp:val=&quot;002A7420&quot;/&gt;&lt;wsp:rsid wsp:val=&quot;002B0F12&quot;/&gt;&lt;wsp:rsid wsp:val=&quot;002B1308&quot;/&gt;&lt;wsp:rsid wsp:val=&quot;002B4554&quot;/&gt;&lt;wsp:rsid wsp:val=&quot;002C72D8&quot;/&gt;&lt;wsp:rsid wsp:val=&quot;002D11FA&quot;/&gt;&lt;wsp:rsid wsp:val=&quot;002E0DDF&quot;/&gt;&lt;wsp:rsid wsp:val=&quot;002E1FB1&quot;/&gt;&lt;wsp:rsid wsp:val=&quot;002E2906&quot;/&gt;&lt;wsp:rsid wsp:val=&quot;002E5635&quot;/&gt;&lt;wsp:rsid wsp:val=&quot;002E64C3&quot;/&gt;&lt;wsp:rsid wsp:val=&quot;002E6A2C&quot;/&gt;&lt;wsp:rsid wsp:val=&quot;002F1D8C&quot;/&gt;&lt;wsp:rsid wsp:val=&quot;002F21DA&quot;/&gt;&lt;wsp:rsid wsp:val=&quot;002F74B2&quot;/&gt;&lt;wsp:rsid wsp:val=&quot;00301F39&quot;/&gt;&lt;wsp:rsid wsp:val=&quot;00305F1A&quot;/&gt;&lt;wsp:rsid wsp:val=&quot;00325926&quot;/&gt;&lt;wsp:rsid wsp:val=&quot;00327A8A&quot;/&gt;&lt;wsp:rsid wsp:val=&quot;00333436&quot;/&gt;&lt;wsp:rsid wsp:val=&quot;00336610&quot;/&gt;&lt;wsp:rsid wsp:val=&quot;00343F73&quot;/&gt;&lt;wsp:rsid wsp:val=&quot;00345060&quot;/&gt;&lt;wsp:rsid wsp:val=&quot;0035323B&quot;/&gt;&lt;wsp:rsid wsp:val=&quot;003609D2&quot;/&gt;&lt;wsp:rsid wsp:val=&quot;00363F22&quot;/&gt;&lt;wsp:rsid wsp:val=&quot;00375564&quot;/&gt;&lt;wsp:rsid wsp:val=&quot;00383191&quot;/&gt;&lt;wsp:rsid wsp:val=&quot;00386DED&quot;/&gt;&lt;wsp:rsid wsp:val=&quot;003912E7&quot;/&gt;&lt;wsp:rsid wsp:val=&quot;00393947&quot;/&gt;&lt;wsp:rsid wsp:val=&quot;003969B3&quot;/&gt;&lt;wsp:rsid wsp:val=&quot;003A2275&quot;/&gt;&lt;wsp:rsid wsp:val=&quot;003A6A4F&quot;/&gt;&lt;wsp:rsid wsp:val=&quot;003A7088&quot;/&gt;&lt;wsp:rsid wsp:val=&quot;003B00DF&quot;/&gt;&lt;wsp:rsid wsp:val=&quot;003B1275&quot;/&gt;&lt;wsp:rsid wsp:val=&quot;003B1778&quot;/&gt;&lt;wsp:rsid wsp:val=&quot;003C11CB&quot;/&gt;&lt;wsp:rsid wsp:val=&quot;003C18B7&quot;/&gt;&lt;wsp:rsid wsp:val=&quot;003C75F3&quot;/&gt;&lt;wsp:rsid wsp:val=&quot;003C78A3&quot;/&gt;&lt;wsp:rsid wsp:val=&quot;003E1867&quot;/&gt;&lt;wsp:rsid wsp:val=&quot;003E5729&quot;/&gt;&lt;wsp:rsid wsp:val=&quot;003F4EE0&quot;/&gt;&lt;wsp:rsid wsp:val=&quot;00402153&quot;/&gt;&lt;wsp:rsid wsp:val=&quot;00402FC1&quot;/&gt;&lt;wsp:rsid wsp:val=&quot;0041783D&quot;/&gt;&lt;wsp:rsid wsp:val=&quot;00425082&quot;/&gt;&lt;wsp:rsid wsp:val=&quot;00431DEB&quot;/&gt;&lt;wsp:rsid wsp:val=&quot;00446B29&quot;/&gt;&lt;wsp:rsid wsp:val=&quot;00453F9A&quot;/&gt;&lt;wsp:rsid wsp:val=&quot;00471E91&quot;/&gt;&lt;wsp:rsid wsp:val=&quot;00474675&quot;/&gt;&lt;wsp:rsid wsp:val=&quot;0047470C&quot;/&gt;&lt;wsp:rsid wsp:val=&quot;00497D2C&quot;/&gt;&lt;wsp:rsid wsp:val=&quot;004A35F9&quot;/&gt;&lt;wsp:rsid wsp:val=&quot;004B24C1&quot;/&gt;&lt;wsp:rsid wsp:val=&quot;004B36E8&quot;/&gt;&lt;wsp:rsid wsp:val=&quot;004C292F&quot;/&gt;&lt;wsp:rsid wsp:val=&quot;004F0284&quot;/&gt;&lt;wsp:rsid wsp:val=&quot;004F208F&quot;/&gt;&lt;wsp:rsid wsp:val=&quot;00510280&quot;/&gt;&lt;wsp:rsid wsp:val=&quot;00513D73&quot;/&gt;&lt;wsp:rsid wsp:val=&quot;00514A43&quot;/&gt;&lt;wsp:rsid wsp:val=&quot;005174E5&quot;/&gt;&lt;wsp:rsid wsp:val=&quot;00521CE8&quot;/&gt;&lt;wsp:rsid wsp:val=&quot;00522393&quot;/&gt;&lt;wsp:rsid wsp:val=&quot;00522620&quot;/&gt;&lt;wsp:rsid wsp:val=&quot;00525656&quot;/&gt;&lt;wsp:rsid wsp:val=&quot;00534C02&quot;/&gt;&lt;wsp:rsid wsp:val=&quot;005359E7&quot;/&gt;&lt;wsp:rsid wsp:val=&quot;0054264B&quot;/&gt;&lt;wsp:rsid wsp:val=&quot;00543786&quot;/&gt;&lt;wsp:rsid wsp:val=&quot;005533D7&quot;/&gt;&lt;wsp:rsid wsp:val=&quot;005703DE&quot;/&gt;&lt;wsp:rsid wsp:val=&quot;0058464E&quot;/&gt;&lt;wsp:rsid wsp:val=&quot;005854F3&quot;/&gt;&lt;wsp:rsid wsp:val=&quot;005A01CB&quot;/&gt;&lt;wsp:rsid wsp:val=&quot;005A3249&quot;/&gt;&lt;wsp:rsid wsp:val=&quot;005A58FF&quot;/&gt;&lt;wsp:rsid wsp:val=&quot;005A5EAF&quot;/&gt;&lt;wsp:rsid wsp:val=&quot;005A64C0&quot;/&gt;&lt;wsp:rsid wsp:val=&quot;005B3C11&quot;/&gt;&lt;wsp:rsid wsp:val=&quot;005C1C28&quot;/&gt;&lt;wsp:rsid wsp:val=&quot;005C6DB5&quot;/&gt;&lt;wsp:rsid wsp:val=&quot;005E19E7&quot;/&gt;&lt;wsp:rsid wsp:val=&quot;0061716C&quot;/&gt;&lt;wsp:rsid wsp:val=&quot;006243A1&quot;/&gt;&lt;wsp:rsid wsp:val=&quot;00632E56&quot;/&gt;&lt;wsp:rsid wsp:val=&quot;00635CBA&quot;/&gt;&lt;wsp:rsid wsp:val=&quot;0064338B&quot;/&gt;&lt;wsp:rsid wsp:val=&quot;00646542&quot;/&gt;&lt;wsp:rsid wsp:val=&quot;006504F4&quot;/&gt;&lt;wsp:rsid wsp:val=&quot;00654BC9&quot;/&gt;&lt;wsp:rsid wsp:val=&quot;006552FD&quot;/&gt;&lt;wsp:rsid wsp:val=&quot;00663AF3&quot;/&gt;&lt;wsp:rsid wsp:val=&quot;00666B6C&quot;/&gt;&lt;wsp:rsid wsp:val=&quot;00682682&quot;/&gt;&lt;wsp:rsid wsp:val=&quot;00682702&quot;/&gt;&lt;wsp:rsid wsp:val=&quot;00692368&quot;/&gt;&lt;wsp:rsid wsp:val=&quot;006A2EBC&quot;/&gt;&lt;wsp:rsid wsp:val=&quot;006A5EA0&quot;/&gt;&lt;wsp:rsid wsp:val=&quot;006A783B&quot;/&gt;&lt;wsp:rsid wsp:val=&quot;006A7B33&quot;/&gt;&lt;wsp:rsid wsp:val=&quot;006B4E13&quot;/&gt;&lt;wsp:rsid wsp:val=&quot;006B75DD&quot;/&gt;&lt;wsp:rsid wsp:val=&quot;006C67E0&quot;/&gt;&lt;wsp:rsid wsp:val=&quot;006C7ABA&quot;/&gt;&lt;wsp:rsid wsp:val=&quot;006D0D60&quot;/&gt;&lt;wsp:rsid wsp:val=&quot;006D1122&quot;/&gt;&lt;wsp:rsid wsp:val=&quot;006D3C00&quot;/&gt;&lt;wsp:rsid wsp:val=&quot;006E3675&quot;/&gt;&lt;wsp:rsid wsp:val=&quot;006E4A7F&quot;/&gt;&lt;wsp:rsid wsp:val=&quot;00704DF6&quot;/&gt;&lt;wsp:rsid wsp:val=&quot;00705C97&quot;/&gt;&lt;wsp:rsid wsp:val=&quot;0070651C&quot;/&gt;&lt;wsp:rsid wsp:val=&quot;007132A3&quot;/&gt;&lt;wsp:rsid wsp:val=&quot;00716421&quot;/&gt;&lt;wsp:rsid wsp:val=&quot;00724EFB&quot;/&gt;&lt;wsp:rsid wsp:val=&quot;007419C3&quot;/&gt;&lt;wsp:rsid wsp:val=&quot;007467A7&quot;/&gt;&lt;wsp:rsid wsp:val=&quot;007469DD&quot;/&gt;&lt;wsp:rsid wsp:val=&quot;0074741B&quot;/&gt;&lt;wsp:rsid wsp:val=&quot;0074759E&quot;/&gt;&lt;wsp:rsid wsp:val=&quot;007478EA&quot;/&gt;&lt;wsp:rsid wsp:val=&quot;0075415C&quot;/&gt;&lt;wsp:rsid wsp:val=&quot;007575DC&quot;/&gt;&lt;wsp:rsid wsp:val=&quot;00763502&quot;/&gt;&lt;wsp:rsid wsp:val=&quot;007913AB&quot;/&gt;&lt;wsp:rsid wsp:val=&quot;007914F7&quot;/&gt;&lt;wsp:rsid wsp:val=&quot;007B1625&quot;/&gt;&lt;wsp:rsid wsp:val=&quot;007B706E&quot;/&gt;&lt;wsp:rsid wsp:val=&quot;007B71EB&quot;/&gt;&lt;wsp:rsid wsp:val=&quot;007C6205&quot;/&gt;&lt;wsp:rsid wsp:val=&quot;007C686A&quot;/&gt;&lt;wsp:rsid wsp:val=&quot;007C728E&quot;/&gt;&lt;wsp:rsid wsp:val=&quot;007D2C53&quot;/&gt;&lt;wsp:rsid wsp:val=&quot;007D3D60&quot;/&gt;&lt;wsp:rsid wsp:val=&quot;007E1980&quot;/&gt;&lt;wsp:rsid wsp:val=&quot;007E4B76&quot;/&gt;&lt;wsp:rsid wsp:val=&quot;007E5EA8&quot;/&gt;&lt;wsp:rsid wsp:val=&quot;007F0CF1&quot;/&gt;&lt;wsp:rsid wsp:val=&quot;007F12A5&quot;/&gt;&lt;wsp:rsid wsp:val=&quot;007F4CF1&quot;/&gt;&lt;wsp:rsid wsp:val=&quot;007F6B79&quot;/&gt;&lt;wsp:rsid wsp:val=&quot;007F758D&quot;/&gt;&lt;wsp:rsid wsp:val=&quot;007F7D52&quot;/&gt;&lt;wsp:rsid wsp:val=&quot;0080654C&quot;/&gt;&lt;wsp:rsid wsp:val=&quot;008071C6&quot;/&gt;&lt;wsp:rsid wsp:val=&quot;00817A00&quot;/&gt;&lt;wsp:rsid wsp:val=&quot;00835DB3&quot;/&gt;&lt;wsp:rsid wsp:val=&quot;0083617B&quot;/&gt;&lt;wsp:rsid wsp:val=&quot;008371BD&quot;/&gt;&lt;wsp:rsid wsp:val=&quot;008472C4&quot;/&gt;&lt;wsp:rsid wsp:val=&quot;008504A8&quot;/&gt;&lt;wsp:rsid wsp:val=&quot;0085282E&quot;/&gt;&lt;wsp:rsid wsp:val=&quot;00863408&quot;/&gt;&lt;wsp:rsid wsp:val=&quot;0087198C&quot;/&gt;&lt;wsp:rsid wsp:val=&quot;00872C1F&quot;/&gt;&lt;wsp:rsid wsp:val=&quot;00873B42&quot;/&gt;&lt;wsp:rsid wsp:val=&quot;008856D8&quot;/&gt;&lt;wsp:rsid wsp:val=&quot;00892E82&quot;/&gt;&lt;wsp:rsid wsp:val=&quot;008C1B58&quot;/&gt;&lt;wsp:rsid wsp:val=&quot;008C39AE&quot;/&gt;&lt;wsp:rsid wsp:val=&quot;008C3F88&quot;/&gt;&lt;wsp:rsid wsp:val=&quot;008C590D&quot;/&gt;&lt;wsp:rsid wsp:val=&quot;008D4EA1&quot;/&gt;&lt;wsp:rsid wsp:val=&quot;008E031B&quot;/&gt;&lt;wsp:rsid wsp:val=&quot;008E7029&quot;/&gt;&lt;wsp:rsid wsp:val=&quot;008E7EF6&quot;/&gt;&lt;wsp:rsid wsp:val=&quot;008F1F98&quot;/&gt;&lt;wsp:rsid wsp:val=&quot;008F6758&quot;/&gt;&lt;wsp:rsid wsp:val=&quot;009040DD&quot;/&gt;&lt;wsp:rsid wsp:val=&quot;00905B47&quot;/&gt;&lt;wsp:rsid wsp:val=&quot;0091331C&quot;/&gt;&lt;wsp:rsid wsp:val=&quot;009279DE&quot;/&gt;&lt;wsp:rsid wsp:val=&quot;00930116&quot;/&gt;&lt;wsp:rsid wsp:val=&quot;0094212C&quot;/&gt;&lt;wsp:rsid wsp:val=&quot;00954689&quot;/&gt;&lt;wsp:rsid wsp:val=&quot;009617C9&quot;/&gt;&lt;wsp:rsid wsp:val=&quot;00961C93&quot;/&gt;&lt;wsp:rsid wsp:val=&quot;00962720&quot;/&gt;&lt;wsp:rsid wsp:val=&quot;00965324&quot;/&gt;&lt;wsp:rsid wsp:val=&quot;0097091E&quot;/&gt;&lt;wsp:rsid wsp:val=&quot;009760D3&quot;/&gt;&lt;wsp:rsid wsp:val=&quot;00977132&quot;/&gt;&lt;wsp:rsid wsp:val=&quot;00981A4B&quot;/&gt;&lt;wsp:rsid wsp:val=&quot;00982501&quot;/&gt;&lt;wsp:rsid wsp:val=&quot;009877D3&quot;/&gt;&lt;wsp:rsid wsp:val=&quot;00994E8F&quot;/&gt;&lt;wsp:rsid wsp:val=&quot;009951DC&quot;/&gt;&lt;wsp:rsid wsp:val=&quot;009959BB&quot;/&gt;&lt;wsp:rsid wsp:val=&quot;00997158&quot;/&gt;&lt;wsp:rsid wsp:val=&quot;009A3A7C&quot;/&gt;&lt;wsp:rsid wsp:val=&quot;009B2ADB&quot;/&gt;&lt;wsp:rsid wsp:val=&quot;009B603A&quot;/&gt;&lt;wsp:rsid wsp:val=&quot;009C2D0E&quot;/&gt;&lt;wsp:rsid wsp:val=&quot;009C3DAC&quot;/&gt;&lt;wsp:rsid wsp:val=&quot;009C42E0&quot;/&gt;&lt;wsp:rsid wsp:val=&quot;009D5362&quot;/&gt;&lt;wsp:rsid wsp:val=&quot;009E1415&quot;/&gt;&lt;wsp:rsid wsp:val=&quot;009E6116&quot;/&gt;&lt;wsp:rsid wsp:val=&quot;00A02E43&quot;/&gt;&lt;wsp:rsid wsp:val=&quot;00A065F9&quot;/&gt;&lt;wsp:rsid wsp:val=&quot;00A07F34&quot;/&gt;&lt;wsp:rsid wsp:val=&quot;00A22154&quot;/&gt;&lt;wsp:rsid wsp:val=&quot;00A25C38&quot;/&gt;&lt;wsp:rsid wsp:val=&quot;00A36BBE&quot;/&gt;&lt;wsp:rsid wsp:val=&quot;00A4307A&quot;/&gt;&lt;wsp:rsid wsp:val=&quot;00A43B09&quot;/&gt;&lt;wsp:rsid wsp:val=&quot;00A47EBB&quot;/&gt;&lt;wsp:rsid wsp:val=&quot;00A51CDD&quot;/&gt;&lt;wsp:rsid wsp:val=&quot;00A571FA&quot;/&gt;&lt;wsp:rsid wsp:val=&quot;00A6730D&quot;/&gt;&lt;wsp:rsid wsp:val=&quot;00A71625&quot;/&gt;&lt;wsp:rsid wsp:val=&quot;00A71B9B&quot;/&gt;&lt;wsp:rsid wsp:val=&quot;00A751C7&quot;/&gt;&lt;wsp:rsid wsp:val=&quot;00A87844&quot;/&gt;&lt;wsp:rsid wsp:val=&quot;00AA038C&quot;/&gt;&lt;wsp:rsid wsp:val=&quot;00AA7A09&quot;/&gt;&lt;wsp:rsid wsp:val=&quot;00AB3B50&quot;/&gt;&lt;wsp:rsid wsp:val=&quot;00AC05B1&quot;/&gt;&lt;wsp:rsid wsp:val=&quot;00AD356C&quot;/&gt;&lt;wsp:rsid wsp:val=&quot;00AE2914&quot;/&gt;&lt;wsp:rsid wsp:val=&quot;00AE5395&quot;/&gt;&lt;wsp:rsid wsp:val=&quot;00AE6D15&quot;/&gt;&lt;wsp:rsid wsp:val=&quot;00B04182&quot;/&gt;&lt;wsp:rsid wsp:val=&quot;00B07AE3&quot;/&gt;&lt;wsp:rsid wsp:val=&quot;00B11430&quot;/&gt;&lt;wsp:rsid wsp:val=&quot;00B353EB&quot;/&gt;&lt;wsp:rsid wsp:val=&quot;00B4228B&quot;/&gt;&lt;wsp:rsid wsp:val=&quot;00B439C4&quot;/&gt;&lt;wsp:rsid wsp:val=&quot;00B4535E&quot;/&gt;&lt;wsp:rsid wsp:val=&quot;00B5230C&quot;/&gt;&lt;wsp:rsid wsp:val=&quot;00B52A8C&quot;/&gt;&lt;wsp:rsid wsp:val=&quot;00B636A8&quot;/&gt;&lt;wsp:rsid wsp:val=&quot;00B665C6&quot;/&gt;&lt;wsp:rsid wsp:val=&quot;00B66EE1&quot;/&gt;&lt;wsp:rsid wsp:val=&quot;00B805AF&quot;/&gt;&lt;wsp:rsid wsp:val=&quot;00B869EC&quot;/&gt;&lt;wsp:rsid wsp:val=&quot;00B9135E&quot;/&gt;&lt;wsp:rsid wsp:val=&quot;00B9397A&quot;/&gt;&lt;wsp:rsid wsp:val=&quot;00B9633D&quot;/&gt;&lt;wsp:rsid wsp:val=&quot;00BA2EBE&quot;/&gt;&lt;wsp:rsid wsp:val=&quot;00BB0F28&quot;/&gt;&lt;wsp:rsid wsp:val=&quot;00BB458A&quot;/&gt;&lt;wsp:rsid wsp:val=&quot;00BD00D3&quot;/&gt;&lt;wsp:rsid wsp:val=&quot;00BD1659&quot;/&gt;&lt;wsp:rsid wsp:val=&quot;00BD3AA9&quot;/&gt;&lt;wsp:rsid wsp:val=&quot;00BD4A18&quot;/&gt;&lt;wsp:rsid wsp:val=&quot;00BD6DB2&quot;/&gt;&lt;wsp:rsid wsp:val=&quot;00BE11CF&quot;/&gt;&lt;wsp:rsid wsp:val=&quot;00BE21AB&quot;/&gt;&lt;wsp:rsid wsp:val=&quot;00BE55CB&quot;/&gt;&lt;wsp:rsid wsp:val=&quot;00BF617A&quot;/&gt;&lt;wsp:rsid wsp:val=&quot;00C0379D&quot;/&gt;&lt;wsp:rsid wsp:val=&quot;00C03931&quot;/&gt;&lt;wsp:rsid wsp:val=&quot;00C05FE3&quot;/&gt;&lt;wsp:rsid wsp:val=&quot;00C2136D&quot;/&gt;&lt;wsp:rsid wsp:val=&quot;00C214EE&quot;/&gt;&lt;wsp:rsid wsp:val=&quot;00C2314B&quot;/&gt;&lt;wsp:rsid wsp:val=&quot;00C24971&quot;/&gt;&lt;wsp:rsid wsp:val=&quot;00C26BE5&quot;/&gt;&lt;wsp:rsid wsp:val=&quot;00C26E4D&quot;/&gt;&lt;wsp:rsid wsp:val=&quot;00C27909&quot;/&gt;&lt;wsp:rsid wsp:val=&quot;00C27B03&quot;/&gt;&lt;wsp:rsid wsp:val=&quot;00C314E1&quot;/&gt;&lt;wsp:rsid wsp:val=&quot;00C31DA9&quot;/&gt;&lt;wsp:rsid wsp:val=&quot;00C34397&quot;/&gt;&lt;wsp:rsid wsp:val=&quot;00C4095D&quot;/&gt;&lt;wsp:rsid wsp:val=&quot;00C601D2&quot;/&gt;&lt;wsp:rsid wsp:val=&quot;00C657AB&quot;/&gt;&lt;wsp:rsid wsp:val=&quot;00C65BCC&quot;/&gt;&lt;wsp:rsid wsp:val=&quot;00C66970&quot;/&gt;&lt;wsp:rsid wsp:val=&quot;00C8691C&quot;/&gt;&lt;wsp:rsid wsp:val=&quot;00CA168A&quot;/&gt;&lt;wsp:rsid wsp:val=&quot;00CA357E&quot;/&gt;&lt;wsp:rsid wsp:val=&quot;00CA44F9&quot;/&gt;&lt;wsp:rsid wsp:val=&quot;00CA4A69&quot;/&gt;&lt;wsp:rsid wsp:val=&quot;00CC3E0C&quot;/&gt;&lt;wsp:rsid wsp:val=&quot;00CC58D3&quot;/&gt;&lt;wsp:rsid wsp:val=&quot;00CC784D&quot;/&gt;&lt;wsp:rsid wsp:val=&quot;00CC79B1&quot;/&gt;&lt;wsp:rsid wsp:val=&quot;00CE39AE&quot;/&gt;&lt;wsp:rsid wsp:val=&quot;00D0337B&quot;/&gt;&lt;wsp:rsid wsp:val=&quot;00D079B2&quot;/&gt;&lt;wsp:rsid wsp:val=&quot;00D114E9&quot;/&gt;&lt;wsp:rsid wsp:val=&quot;00D429C6&quot;/&gt;&lt;wsp:rsid wsp:val=&quot;00D47748&quot;/&gt;&lt;wsp:rsid wsp:val=&quot;00D54CC3&quot;/&gt;&lt;wsp:rsid wsp:val=&quot;00D6041A&quot;/&gt;&lt;wsp:rsid wsp:val=&quot;00D633EB&quot;/&gt;&lt;wsp:rsid wsp:val=&quot;00D7545D&quot;/&gt;&lt;wsp:rsid wsp:val=&quot;00D82FF7&quot;/&gt;&lt;wsp:rsid wsp:val=&quot;00D847FE&quot;/&gt;&lt;wsp:rsid wsp:val=&quot;00D964EA&quot;/&gt;&lt;wsp:rsid wsp:val=&quot;00D966D0&quot;/&gt;&lt;wsp:rsid wsp:val=&quot;00D96CBE&quot;/&gt;&lt;wsp:rsid wsp:val=&quot;00DA0C59&quot;/&gt;&lt;wsp:rsid wsp:val=&quot;00DA3991&quot;/&gt;&lt;wsp:rsid wsp:val=&quot;00DB7E6C&quot;/&gt;&lt;wsp:rsid wsp:val=&quot;00DD5A29&quot;/&gt;&lt;wsp:rsid wsp:val=&quot;00DD5D9D&quot;/&gt;&lt;wsp:rsid wsp:val=&quot;00DD73C1&quot;/&gt;&lt;wsp:rsid wsp:val=&quot;00DE35CB&quot;/&gt;&lt;wsp:rsid wsp:val=&quot;00DF21E9&quot;/&gt;&lt;wsp:rsid wsp:val=&quot;00E00F14&quot;/&gt;&lt;wsp:rsid wsp:val=&quot;00E06386&quot;/&gt;&lt;wsp:rsid wsp:val=&quot;00E24EB4&quot;/&gt;&lt;wsp:rsid wsp:val=&quot;00E320ED&quot;/&gt;&lt;wsp:rsid wsp:val=&quot;00E33AFB&quot;/&gt;&lt;wsp:rsid wsp:val=&quot;00E34218&quot;/&gt;&lt;wsp:rsid wsp:val=&quot;00E46282&quot;/&gt;&lt;wsp:rsid wsp:val=&quot;00E5216E&quot;/&gt;&lt;wsp:rsid wsp:val=&quot;00E54BF1&quot;/&gt;&lt;wsp:rsid wsp:val=&quot;00E714CD&quot;/&gt;&lt;wsp:rsid wsp:val=&quot;00E82344&quot;/&gt;&lt;wsp:rsid wsp:val=&quot;00E84C82&quot;/&gt;&lt;wsp:rsid wsp:val=&quot;00E84D64&quot;/&gt;&lt;wsp:rsid wsp:val=&quot;00E87408&quot;/&gt;&lt;wsp:rsid wsp:val=&quot;00E914C4&quot;/&gt;&lt;wsp:rsid wsp:val=&quot;00E934F5&quot;/&gt;&lt;wsp:rsid wsp:val=&quot;00E96961&quot;/&gt;&lt;wsp:rsid wsp:val=&quot;00EA72EC&quot;/&gt;&lt;wsp:rsid wsp:val=&quot;00EB11CB&quot;/&gt;&lt;wsp:rsid wsp:val=&quot;00EB275A&quot;/&gt;&lt;wsp:rsid wsp:val=&quot;00EB562C&quot;/&gt;&lt;wsp:rsid wsp:val=&quot;00EB786A&quot;/&gt;&lt;wsp:rsid wsp:val=&quot;00EC1578&quot;/&gt;&lt;wsp:rsid wsp:val=&quot;00EC1C72&quot;/&gt;&lt;wsp:rsid wsp:val=&quot;00EC3CC9&quot;/&gt;&lt;wsp:rsid wsp:val=&quot;00EC680A&quot;/&gt;&lt;wsp:rsid wsp:val=&quot;00EE2BED&quot;/&gt;&lt;wsp:rsid wsp:val=&quot;00EE374B&quot;/&gt;&lt;wsp:rsid wsp:val=&quot;00F01364&quot;/&gt;&lt;wsp:rsid wsp:val=&quot;00F11BB5&quot;/&gt;&lt;wsp:rsid wsp:val=&quot;00F1417B&quot;/&gt;&lt;wsp:rsid wsp:val=&quot;00F34B99&quot;/&gt;&lt;wsp:rsid wsp:val=&quot;00F43A0E&quot;/&gt;&lt;wsp:rsid wsp:val=&quot;00F52DAB&quot;/&gt;&lt;wsp:rsid wsp:val=&quot;00F543F0&quot;/&gt;&lt;wsp:rsid wsp:val=&quot;00F6443D&quot;/&gt;&lt;wsp:rsid wsp:val=&quot;00F81D29&quot;/&gt;&lt;wsp:rsid wsp:val=&quot;00F91C4D&quot;/&gt;&lt;wsp:rsid wsp:val=&quot;00F92FD9&quot;/&gt;&lt;wsp:rsid wsp:val=&quot;00FA6684&quot;/&gt;&lt;wsp:rsid wsp:val=&quot;00FA731E&quot;/&gt;&lt;wsp:rsid wsp:val=&quot;00FB2B38&quot;/&gt;&lt;wsp:rsid wsp:val=&quot;00FB3346&quot;/&gt;&lt;wsp:rsid wsp:val=&quot;00FC6358&quot;/&gt;&lt;wsp:rsid wsp:val=&quot;00FD320D&quot;/&gt;&lt;wsp:rsid wsp:val=&quot;00FE23DE&quot;/&gt;&lt;/wsp:rsids&gt;&lt;/w:docPr&gt;&lt;w:body&gt;&lt;wx:sect&gt;&lt;w:p wsp:rsidR=&quot;00F01364&quot; wsp:rsidRDefault=&quot;00F01364&quot; wsp:rsidP=&quot;00F01364&quot;&gt;&lt;m:oMathPara&gt;&lt;m:oMath&gt;&lt;m:r&gt;&lt;w:rPr&gt;&lt;w:rFonts w:ascii=&quot;Cambria Math&quot;/&gt;&lt;wx:font wx:val=&quot;Cambria Math&quot;/&gt;&lt;w:i/&gt;&lt;/w:rPr&gt;&lt;m:t&gt;蠅=&lt;/m:t&gt;&lt;/m:r&gt;&lt;m:sSub&gt;&lt;m:sSubPr&gt;&lt;m:ctrlPr&gt;&lt;w:rPr&gt;&lt;w:rFonts w:ascii=&quot;Cambria Math&quot;/&gt;&lt;wx:font wx:val=&quot;Cambria Math&quot;/&gt;&lt;w:i/&gt;&lt;/w:rPr&gt;&lt;/m:ctrlPr&gt;&lt;/m:sSubPr&gt;&lt;m:e&gt;&lt;m:r&gt;&lt;w:rPrPPPPP&gt;&lt;w:rFonts w:ascii=&quot;Cambria Math&quot;/&gt;&lt;wx:font wx:val=&quot;Cambria Math&quot;/&gt;&lt;w:i/&gt;&lt;/w:rPr&gt;&lt;m:t&gt;蠅&lt;/m:t&gt;&lt;/m:r&gt;&lt;/m:e&gt;&lt;m:sub&gt;&lt;m:r&gt;&lt;w:rPr&gt;&lt;w:rFonts w:ascii=&quot;Cambria Math&quot;/&gt;&lt;wx:font wx:val=&quot;Cambria Math&quot;/&gt;&lt;w:i/&gt;&lt;/w:rPr&gt;&lt;m:t&gt;1&lt;/m:t&gt;&lt;/m:r&gt;&lt;/m:sub&gt;&lt;/m:sSub&gt;&lt;m:r&gt;&lt;w:rPrP&gt;P&lt;PwP:PrFonts w:ascii=&quot;Cambria Math&quot;/&gt;&lt;wx:font wx:val=&quot;Cambria Math&quot;/&gt;&lt;w:i/&gt;&lt;/w:rPr&gt;&lt;m:t&gt;+&lt;/m:t&gt;&lt;/m:r&gt;&lt;m:sSub&gt;&lt;m:sSubPr&gt;&lt;m:ctrlPr&gt;&lt;w:rPr&gt;&lt;w:rFonts w:ascii=&quot;Cambria Math&quot;/&gt;&lt;wx:font wx:val=&quot;Cambria Math&quot;/&gt;&lt;w:i/&gt;&lt;/w:rPr&gt;&lt;/m:ctrlPr&gt;&lt;/m:sSubPr&gt;&lt;m:e&gt;&lt;m:r&gt;&lt;w:rPr&gt;&lt;w:rFonts w:ascii=&quot;Cambria Math&quot;/&gt;&lt;wx:font wx:val=&quot;Cambria Math&quot;/&gt;&lt;w:i/&gt;&lt;/w:rPr&gt;&lt;m:t&gt;蠅&lt;/m:t&gt;&lt;/m:r&gt;&lt;/m:e&gt;&lt;m:sub&gt;&lt;m:r&gt;&lt;w:rPr&gt;&lt;w:rFonts w:ascii=&quot;Cambria Math&quot;/&gt;&lt;wx:font wx:val=&quot;Cambria Math&quot;/&gt;&lt;w:i/&gt;&lt;/w:rPr&gt;&lt;m:t&gt;2&lt;/m:t&gt;&lt;/m:r&gt;&lt;/m:sub&gt;&lt;/m:sSub&gt;&lt;m:r&gt;&lt;w:rPr&gt;&lt;wP:r&gt;Fowntrs ow:ascii=&quot;Cambria Math&quot;/&gt;&lt;w:i/&gt;&lt;/w:rPr&gt;&lt;m:t&gt;脳&lt;/m:t&gt;&lt;/m:r&gt;&lt;m:r&gt;&lt;w:rPr&gt;&lt;w:rFonts w:ascii=&quot;Cambria Math&quot;/&gt;&lt;wx:font wx:val=&quot;Cambria Math&quot;/&gt;&lt;w:i/&gt;&lt;/w:rPr&gt;&lt;m:t&gt;0.0662+&lt;/m:t&gt;&lt;/m:r&gt;&lt;m:sSub&gt;&lt;m:sSubPr&gt;&lt;m:ctrlPr&gt;&lt;w:rPr&gt;&lt;w:rFonts w:ascii=&quot;Cambria Math&quot;/&gt;&lt;Pwx:&gt;fonwt wrx:voal=&quot;Cambria Math&quot;/&gt;&lt;w:i/&gt;&lt;/w:rPr&gt;&lt;/m:ctrlPr&gt;&lt;/m:sSubPr&gt;&lt;m:e&gt;&lt;m:r&gt;&lt;w:rPr&gt;&lt;w:rFonts w:ascii=&quot;Cambria Math&quot;/&gt;&lt;wx:font wx:val=&quot;Cambria Math&quot;/&gt;&lt;w:i/&gt;&lt;/w:rPr&gt;&lt;m:t&gt;蠅&lt;/m:t&gt;&lt;/m:r&gt;&lt;/m:e&gt;&lt;m:sub&gt;&lt;m:r&gt;&lt;w:rPr&gt;&lt;w:rFonts w:ascii=&quot;Cambria Math&quot;/&gt;&lt;wx:font Pwx:v&gt;al=&quot;wCambrria oMath&quot;/&gt;&lt;w:i/&gt;&lt;/w:rPr&gt;&lt;m:t&gt;3&lt;/m:t&gt;&lt;/m:r&gt;&lt;/m:sub&gt;&lt;/m:sSub&gt;&lt;m:r&gt;&lt;w:rPr&gt;&lt;w:rFonts w:ascii=&quot;Cambria Math&quot;/&gt;&lt;w:i/&gt;&lt;/w:rPr&gt;&lt;m:t&gt;脳&lt;/m:t&gt;&lt;/m:r&gt;&lt;m:r&gt;&lt;w:rPr&gt;&lt;w:rFonts w:ascii=&quot;Cambria Math&quot;/&gt;&lt;wx:font wx:val=&quot;Cambria Math&quot;/&gt;&lt;w:i/&gt;&lt;/w:rPr&gt;&lt;m:t&gt;0.1P497+&lt;&gt;/m:t&gt;w&lt;/m:rr&gt;&lt;m:soSub&gt;&lt;m:sSubPr&gt;&lt;m:ctrlPr&gt;&lt;w:rPr&gt;&lt;w:rFonts w:ascii=&quot;Cambria Math&quot;/&gt;&lt;wx:font wx:val=&quot;Cambria Math&quot;/&gt;&lt;w:i/&gt;&lt;/w:rPr&gt;&lt;/m:ctrlPr&gt;&lt;/m:sSubPr&gt;&lt;m:e&gt;&lt;m:r&gt;&lt;w:rPr&gt;&lt;w:rFonts w:ascii=&quot;Cambria Math&quot;/&gt;&lt;wx:font wx:val=&quot;Cambria Math&quot;/&gt;&lt;w:i/&gt;&lt;/w:rPr&gt;&lt;m:t&gt;蠅&gt;&lt;/m:t&gt;w&lt;/m:r&gt;r&lt;/m:e&gt;o&lt;m:sub&gt;&lt;m:r&gt;&lt;w:rPr&gt;&lt;w:rFonts w:ascii=&quot;Cambria Math&quot;/&gt;&lt;wx:font wx:val=&quot;Cambria Math&quot;/&gt;&lt;w:i/&gt;&lt;/w:rPr&gt;&lt;m:t&gt;4&lt;/m:t&gt;&lt;/m:r&gt;&lt;/m:sub&gt;&lt;/m:sSub&gt;&lt;m:r&gt;&lt;w:rPr&gt;&lt;w:rFonts w:ascii=&quot;Cambria Math&quot;/&gt;&lt;w:i/&gt;&lt;/w:rPr&gt;&lt;m:t&gt;脳&lt;/m:t&gt;&lt;/m:r&gt;&lt;m:r&gt;&lt;w:rPr&gt;&lt;w&gt;&lt;:rFonts&gt; w:asciwi=&quot;Cambrria Matoh&quot;/&gt;&lt;wx:font wx:val=&quot;Cambria Math&quot;/&gt;&lt;w:i/&gt;&lt;/w:rPr&gt;&lt;m:t&gt;0.3246+&lt;/m:t&gt;&lt;/m:r&gt;&lt;m:sSub&gt;&lt;m:sSubPr&gt;&lt;m:ctrlPr&gt;&lt;w:rPr&gt;&lt;w:rFonts w:ascii=&quot;Cambria Math&quot;/&gt;&lt;wx:font wx:val=&quot;Cambria Math&quot;/&gt;&lt;w:i/&gt;&lt;/w:rPr&gt;&lt;/m:ctrlPr&gt;&lt;/m:sSubPr&gt;&lt;m:e&gt;&lt;m:r&gt;&lt;w:rPr&gt;&lt;w:rFonts w:ascii=&quot;Cambria Math&quot;/&gt;&lt;wx:font wx:val=&quot;Cambria Math&quot;/&gt;&lt;w:i/&gt;&lt;/w:rPr&gt;&lt;m:t&gt;蠅&lt;/m:t&gt;&lt;/m:r&gt;&lt;/m:e&gt;&lt;m:sub&gt;&lt;m:r&gt;&lt;w:rPr&gt;&lt;w:rFonts w:ascii=&quot;Cambria Math&quot;/&gt;&lt;wx:font wx:val=&quot;Cambria Math&quot;/&gt;&lt;w:i/&gt;&lt;/w:rPr&gt;&lt;m:t&gt;5&lt;/m:t&gt;&lt;/m:r&gt;&lt;/m:sub&gt;&lt;/m:sSub&gt;&lt;m:r&gt;&lt;w:rPrw&gt;&lt;w:rFon:ts w:ascwii=&quot;Camb&quot;ria Math &quot;/&gt;&lt;w:i/&gt;&lt;/w:rPr&gt;&lt;m:t&gt;脳&lt;/m:t&gt;&lt;/m:r&gt;&lt;m:r&gt;&lt;w:rPr&gt;&lt;w:rFonts w:ascii=&quot;Cambria Math&quot;/&gt;&lt;wx:font wx:val=&quot;Cambria Math&quot;/&gt;&lt;w:i/&gt;&lt;/w:rPr&gt;&lt;m:t&gt;0.3784&lt;/m:t&gt;&lt;/m:r&gt;&lt;/m:oMath&gt;&lt;/m:oMathPara&gt;&lt;/w:p&gt;&lt;w:sectPr wsp:rsidR=&quot;00000000&quot;&gt;&lt;w:pgSzw w:w=&quot;122:40&quot; w:h=&quot;w15840&quot;/&gt;&lt;&quot;w:pgMar w :top=&quot;1440&quot; w:right=&quot;1800&quot; w:bottom=&quot;1440&quot; w:left=&quot;1800&quot; w:header=&quot;720&quot; w:footer=&quot;720&quot; w:gutter=&quot;0&quot;/&gt;&lt;w:cols w:space=&quot;720&quot;/&gt;&lt;/w:sectPr&gt;&lt;/wx:sect&gt;&lt;/w:body&gt;&lt;/w:wordDocument&gt;">
            <v:path/>
            <v:fill on="f" focussize="0,0"/>
            <v:stroke on="f" joinstyle="miter"/>
            <v:imagedata r:id="rId6" chromakey="#FFFFFF" o:title=""/>
            <o:lock v:ext="edit" aspectratio="t"/>
            <w10:wrap type="none"/>
            <w10:anchorlock/>
          </v:shape>
        </w:pict>
      </w:r>
      <w:r>
        <w:instrText xml:space="preserve"> </w:instrText>
      </w:r>
      <w:r>
        <w:fldChar w:fldCharType="separate"/>
      </w:r>
      <w:r>
        <w:fldChar w:fldCharType="end"/>
      </w:r>
      <w:r>
        <w:fldChar w:fldCharType="begin"/>
      </w:r>
      <w:r>
        <w:instrText xml:space="preserve"> QUOTE </w:instrText>
      </w:r>
      <w:r>
        <w:rPr>
          <w:position w:val="-8"/>
        </w:rPr>
        <w:pict>
          <v:shape id="_x0000_i1027" o:spt="75" type="#_x0000_t75" style="height:15.9pt;width:306.5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sdtfl=&quot;http://schemas.microsoft.com/office/word/2024/wordml/sdtformatlock&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2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035925&quot;/&gt;&lt;wsp:rsid wsp:val=&quot;00000244&quot;/&gt;&lt;wsp:rsid wsp:val=&quot;0000185F&quot;/&gt;&lt;wsp:rsid wsp:val=&quot;0000586F&quot;/&gt;&lt;wsp:rsid wsp:val=&quot;000076A3&quot;/&gt;&lt;wsp:rsid wsp:val=&quot;00013D86&quot;/&gt;&lt;wsp:rsid wsp:val=&quot;00013E02&quot;/&gt;&lt;wsp:rsid wsp:val=&quot;0002143C&quot;/&gt;&lt;wsp:rsid wsp:val=&quot;00025A65&quot;/&gt;&lt;wsp:rsid wsp:val=&quot;00026C31&quot;/&gt;&lt;wsp:rsid wsp:val=&quot;00027280&quot;/&gt;&lt;wsp:rsid wsp:val=&quot;000320A7&quot;/&gt;&lt;wsp:rsid wsp:val=&quot;00035925&quot;/&gt;&lt;wsp:rsid wsp:val=&quot;00067CDF&quot;/&gt;&lt;wsp:rsid wsp:val=&quot;00074FBE&quot;/&gt;&lt;wsp:rsid wsp:val=&quot;00083A09&quot;/&gt;&lt;wsp:rsid wsp:val=&quot;0009005E&quot;/&gt;&lt;wsp:rsid wsp:val=&quot;00092857&quot;/&gt;&lt;wsp:rsid wsp:val=&quot;000A20A9&quot;/&gt;&lt;wsp:rsid wsp:val=&quot;000A48B1&quot;/&gt;&lt;wsp:rsid wsp:val=&quot;000B3143&quot;/&gt;&lt;wsp:rsid wsp:val=&quot;000C6B05&quot;/&gt;&lt;wsp:rsid wsp:val=&quot;000C6DD6&quot;/&gt;&lt;wsp:rsid wsp:val=&quot;000C73D4&quot;/&gt;&lt;wsp:rsid wsp:val=&quot;000D3D4C&quot;/&gt;&lt;wsp:rsid wsp:val=&quot;000D4F51&quot;/&gt;&lt;wsp:rsid wsp:val=&quot;000D718B&quot;/&gt;&lt;wsp:rsid wsp:val=&quot;000E0C46&quot;/&gt;&lt;wsp:rsid wsp:val=&quot;000F030C&quot;/&gt;&lt;wsp:rsid wsp:val=&quot;000F129C&quot;/&gt;&lt;wsp:rsid wsp:val=&quot;001047BB&quot;/&gt;&lt;wsp:rsid wsp:val=&quot;001056DE&quot;/&gt;&lt;wsp:rsid wsp:val=&quot;001124C0&quot;/&gt;&lt;wsp:rsid wsp:val=&quot;0013175F&quot;/&gt;&lt;wsp:rsid wsp:val=&quot;001512B4&quot;/&gt;&lt;wsp:rsid wsp:val=&quot;001620A5&quot;/&gt;&lt;wsp:rsid wsp:val=&quot;00164E53&quot;/&gt;&lt;wsp:rsid wsp:val=&quot;0016699D&quot;/&gt;&lt;wsp:rsid wsp:val=&quot;00175159&quot;/&gt;&lt;wsp:rsid wsp:val=&quot;00176208&quot;/&gt;&lt;wsp:rsid wsp:val=&quot;0018211B&quot;/&gt;&lt;wsp:rsid wsp:val=&quot;001840D3&quot;/&gt;&lt;wsp:rsid wsp:val=&quot;001900F8&quot;/&gt;&lt;wsp:rsid wsp:val=&quot;00191258&quot;/&gt;&lt;wsp:rsid wsp:val=&quot;00192680&quot;/&gt;&lt;wsp:rsid wsp:val=&quot;00193037&quot;/&gt;&lt;wsp:rsid wsp:val=&quot;00193A2C&quot;/&gt;&lt;wsp:rsid wsp:val=&quot;001A288E&quot;/&gt;&lt;wsp:rsid wsp:val=&quot;001B6DC2&quot;/&gt;&lt;wsp:rsid wsp:val=&quot;001C149C&quot;/&gt;&lt;wsp:rsid wsp:val=&quot;001C21AC&quot;/&gt;&lt;wsp:rsid wsp:val=&quot;001C47BA&quot;/&gt;&lt;wsp:rsid wsp:val=&quot;001C59EA&quot;/&gt;&lt;wsp:rsid wsp:val=&quot;001D406C&quot;/&gt;&lt;wsp:rsid wsp:val=&quot;001D41EE&quot;/&gt;&lt;wsp:rsid wsp:val=&quot;001E0380&quot;/&gt;&lt;wsp:rsid wsp:val=&quot;001E13B1&quot;/&gt;&lt;wsp:rsid wsp:val=&quot;001E5C3E&quot;/&gt;&lt;wsp:rsid wsp:val=&quot;001E681D&quot;/&gt;&lt;wsp:rsid wsp:val=&quot;001F3A19&quot;/&gt;&lt;wsp:rsid wsp:val=&quot;00234467&quot;/&gt;&lt;wsp:rsid wsp:val=&quot;00237D8D&quot;/&gt;&lt;wsp:rsid wsp:val=&quot;00241DA2&quot;/&gt;&lt;wsp:rsid wsp:val=&quot;00247FEE&quot;/&gt;&lt;wsp:rsid wsp:val=&quot;00250E7D&quot;/&gt;&lt;wsp:rsid wsp:val=&quot;002565D5&quot;/&gt;&lt;wsp:rsid wsp:val=&quot;002622C0&quot;/&gt;&lt;wsp:rsid wsp:val=&quot;002778AE&quot;/&gt;&lt;wsp:rsid wsp:val=&quot;0028269A&quot;/&gt;&lt;wsp:rsid wsp:val=&quot;00283590&quot;/&gt;&lt;wsp:rsid wsp:val=&quot;00286973&quot;/&gt;&lt;wsp:rsid wsp:val=&quot;00294E70&quot;/&gt;&lt;wsp:rsid wsp:val=&quot;002A1924&quot;/&gt;&lt;wsp:rsid wsp:val=&quot;002A7420&quot;/&gt;&lt;wsp:rsid wsp:val=&quot;002B0F12&quot;/&gt;&lt;wsp:rsid wsp:val=&quot;002B1308&quot;/&gt;&lt;wsp:rsid wsp:val=&quot;002B4554&quot;/&gt;&lt;wsp:rsid wsp:val=&quot;002C72D8&quot;/&gt;&lt;wsp:rsid wsp:val=&quot;002D11FA&quot;/&gt;&lt;wsp:rsid wsp:val=&quot;002E0DDF&quot;/&gt;&lt;wsp:rsid wsp:val=&quot;002E1FB1&quot;/&gt;&lt;wsp:rsid wsp:val=&quot;002E2906&quot;/&gt;&lt;wsp:rsid wsp:val=&quot;002E5635&quot;/&gt;&lt;wsp:rsid wsp:val=&quot;002E64C3&quot;/&gt;&lt;wsp:rsid wsp:val=&quot;002E6A2C&quot;/&gt;&lt;wsp:rsid wsp:val=&quot;002F1D8C&quot;/&gt;&lt;wsp:rsid wsp:val=&quot;002F21DA&quot;/&gt;&lt;wsp:rsid wsp:val=&quot;00301F39&quot;/&gt;&lt;wsp:rsid wsp:val=&quot;00305F1A&quot;/&gt;&lt;wsp:rsid wsp:val=&quot;00325926&quot;/&gt;&lt;wsp:rsid wsp:val=&quot;00327A8A&quot;/&gt;&lt;wsp:rsid wsp:val=&quot;00336610&quot;/&gt;&lt;wsp:rsid wsp:val=&quot;00343F73&quot;/&gt;&lt;wsp:rsid wsp:val=&quot;00345060&quot;/&gt;&lt;wsp:rsid wsp:val=&quot;0035323B&quot;/&gt;&lt;wsp:rsid wsp:val=&quot;003609D2&quot;/&gt;&lt;wsp:rsid wsp:val=&quot;00363F22&quot;/&gt;&lt;wsp:rsid wsp:val=&quot;00375564&quot;/&gt;&lt;wsp:rsid wsp:val=&quot;00383191&quot;/&gt;&lt;wsp:rsid wsp:val=&quot;00386DED&quot;/&gt;&lt;wsp:rsid wsp:val=&quot;003912E7&quot;/&gt;&lt;wsp:rsid wsp:val=&quot;00393947&quot;/&gt;&lt;wsp:rsid wsp:val=&quot;003969B3&quot;/&gt;&lt;wsp:rsid wsp:val=&quot;003A2275&quot;/&gt;&lt;wsp:rsid wsp:val=&quot;003A6A4F&quot;/&gt;&lt;wsp:rsid wsp:val=&quot;003A7088&quot;/&gt;&lt;wsp:rsid wsp:val=&quot;003B00DF&quot;/&gt;&lt;wsp:rsid wsp:val=&quot;003B1275&quot;/&gt;&lt;wsp:rsid wsp:val=&quot;003B1778&quot;/&gt;&lt;wsp:rsid wsp:val=&quot;003C11CB&quot;/&gt;&lt;wsp:rsid wsp:val=&quot;003C18B7&quot;/&gt;&lt;wsp:rsid wsp:val=&quot;003C75F3&quot;/&gt;&lt;wsp:rsid wsp:val=&quot;003C78A3&quot;/&gt;&lt;wsp:rsid wsp:val=&quot;003E1867&quot;/&gt;&lt;wsp:rsid wsp:val=&quot;003E5729&quot;/&gt;&lt;wsp:rsid wsp:val=&quot;003F4EE0&quot;/&gt;&lt;wsp:rsid wsp:val=&quot;00402153&quot;/&gt;&lt;wsp:rsid wsp:val=&quot;00402FC1&quot;/&gt;&lt;wsp:rsid wsp:val=&quot;00425082&quot;/&gt;&lt;wsp:rsid wsp:val=&quot;00431DEB&quot;/&gt;&lt;wsp:rsid wsp:val=&quot;00446B29&quot;/&gt;&lt;wsp:rsid wsp:val=&quot;00453F9A&quot;/&gt;&lt;wsp:rsid wsp:val=&quot;00471E91&quot;/&gt;&lt;wsp:rsid wsp:val=&quot;00474675&quot;/&gt;&lt;wsp:rsid wsp:val=&quot;0047470C&quot;/&gt;&lt;wsp:rsid wsp:val=&quot;004A35F9&quot;/&gt;&lt;wsp:rsid wsp:val=&quot;004B24C1&quot;/&gt;&lt;wsp:rsid wsp:val=&quot;004C292F&quot;/&gt;&lt;wsp:rsid wsp:val=&quot;004F0284&quot;/&gt;&lt;wsp:rsid wsp:val=&quot;00510280&quot;/&gt;&lt;wsp:rsid wsp:val=&quot;00513D73&quot;/&gt;&lt;wsp:rsid wsp:val=&quot;00514A43&quot;/&gt;&lt;wsp:rsid wsp:val=&quot;005174E5&quot;/&gt;&lt;wsp:rsid wsp:val=&quot;00521CE8&quot;/&gt;&lt;wsp:rsid wsp:val=&quot;00522393&quot;/&gt;&lt;wsp:rsid wsp:val=&quot;00522620&quot;/&gt;&lt;wsp:rsid wsp:val=&quot;00525656&quot;/&gt;&lt;wsp:rsid wsp:val=&quot;00534C02&quot;/&gt;&lt;wsp:rsid wsp:val=&quot;005359E7&quot;/&gt;&lt;wsp:rsid wsp:val=&quot;0054264B&quot;/&gt;&lt;wsp:rsid wsp:val=&quot;00543786&quot;/&gt;&lt;wsp:rsid wsp:val=&quot;005533D7&quot;/&gt;&lt;wsp:rsid wsp:val=&quot;005703DE&quot;/&gt;&lt;wsp:rsid wsp:val=&quot;0058464E&quot;/&gt;&lt;wsp:rsid wsp:val=&quot;005A01CB&quot;/&gt;&lt;wsp:rsid wsp:val=&quot;005A58FF&quot;/&gt;&lt;wsp:rsid wsp:val=&quot;005A5EAF&quot;/&gt;&lt;wsp:rsid wsp:val=&quot;005A64C0&quot;/&gt;&lt;wsp:rsid wsp:val=&quot;005B3C11&quot;/&gt;&lt;wsp:rsid wsp:val=&quot;005C1C28&quot;/&gt;&lt;wsp:rsid wsp:val=&quot;005C6DB5&quot;/&gt;&lt;wsp:rsid wsp:val=&quot;005E19E7&quot;/&gt;&lt;wsp:rsid wsp:val=&quot;0061716C&quot;/&gt;&lt;wsp:rsid wsp:val=&quot;006243A1&quot;/&gt;&lt;wsp:rsid wsp:val=&quot;00632E56&quot;/&gt;&lt;wsp:rsid wsp:val=&quot;00635CBA&quot;/&gt;&lt;wsp:rsid wsp:val=&quot;0064338B&quot;/&gt;&lt;wsp:rsid wsp:val=&quot;00646542&quot;/&gt;&lt;wsp:rsid wsp:val=&quot;006504F4&quot;/&gt;&lt;wsp:rsid wsp:val=&quot;00654BC9&quot;/&gt;&lt;wsp:rsid wsp:val=&quot;006552FD&quot;/&gt;&lt;wsp:rsid wsp:val=&quot;00663AF3&quot;/&gt;&lt;wsp:rsid wsp:val=&quot;00666B6C&quot;/&gt;&lt;wsp:rsid wsp:val=&quot;00682682&quot;/&gt;&lt;wsp:rsid wsp:val=&quot;00682702&quot;/&gt;&lt;wsp:rsid wsp:val=&quot;00692368&quot;/&gt;&lt;wsp:rsid wsp:val=&quot;006A2EBC&quot;/&gt;&lt;wsp:rsid wsp:val=&quot;006A5EA0&quot;/&gt;&lt;wsp:rsid wsp:val=&quot;006A783B&quot;/&gt;&lt;wsp:rsid wsp:val=&quot;006A7B33&quot;/&gt;&lt;wsp:rsid wsp:val=&quot;006B4E13&quot;/&gt;&lt;wsp:rsid wsp:val=&quot;006B75DD&quot;/&gt;&lt;wsp:rsid wsp:val=&quot;006C67E0&quot;/&gt;&lt;wsp:rsid wsp:val=&quot;006C7ABA&quot;/&gt;&lt;wsp:rsid wsp:val=&quot;006D0D60&quot;/&gt;&lt;wsp:rsid wsp:val=&quot;006D1122&quot;/&gt;&lt;wsp:rsid wsp:val=&quot;006D3C00&quot;/&gt;&lt;wsp:rsid wsp:val=&quot;006E3675&quot;/&gt;&lt;wsp:rsid wsp:val=&quot;006E4A7F&quot;/&gt;&lt;wsp:rsid wsp:val=&quot;00704DF6&quot;/&gt;&lt;wsp:rsid wsp:val=&quot;0070651C&quot;/&gt;&lt;wsp:rsid wsp:val=&quot;007132A3&quot;/&gt;&lt;wsp:rsid wsp:val=&quot;00716421&quot;/&gt;&lt;wsp:rsid wsp:val=&quot;00724EFB&quot;/&gt;&lt;wsp:rsid wsp:val=&quot;00730ABF&quot;/&gt;&lt;wsp:rsid wsp:val=&quot;007419C3&quot;/&gt;&lt;wsp:rsid wsp:val=&quot;007467A7&quot;/&gt;&lt;wsp:rsid wsp:val=&quot;007469DD&quot;/&gt;&lt;wsp:rsid wsp:val=&quot;0074741B&quot;/&gt;&lt;wsp:rsid wsp:val=&quot;0074759E&quot;/&gt;&lt;wsp:rsid wsp:val=&quot;007478EA&quot;/&gt;&lt;wsp:rsid wsp:val=&quot;0075415C&quot;/&gt;&lt;wsp:rsid wsp:val=&quot;007575DC&quot;/&gt;&lt;wsp:rsid wsp:val=&quot;00763502&quot;/&gt;&lt;wsp:rsid wsp:val=&quot;007913AB&quot;/&gt;&lt;wsp:rsid wsp:val=&quot;007914F7&quot;/&gt;&lt;wsp:rsid wsp:val=&quot;007B1625&quot;/&gt;&lt;wsp:rsid wsp:val=&quot;007B706E&quot;/&gt;&lt;wsp:rsid wsp:val=&quot;007B71EB&quot;/&gt;&lt;wsp:rsid wsp:val=&quot;007C6205&quot;/&gt;&lt;wsp:rsid wsp:val=&quot;007C686A&quot;/&gt;&lt;wsp:rsid wsp:val=&quot;007C728E&quot;/&gt;&lt;wsp:rsid wsp:val=&quot;007D2C53&quot;/&gt;&lt;wsp:rsid wsp:val=&quot;007D3D60&quot;/&gt;&lt;wsp:rsid wsp:val=&quot;007E1980&quot;/&gt;&lt;wsp:rsid wsp:val=&quot;007E4B76&quot;/&gt;&lt;wsp:rsid wsp:val=&quot;007E5EA8&quot;/&gt;&lt;wsp:rsid wsp:val=&quot;007F0CF1&quot;/&gt;&lt;wsp:rsid wsp:val=&quot;007F12A5&quot;/&gt;&lt;wsp:rsid wsp:val=&quot;007F4CF1&quot;/&gt;&lt;wsp:rsid wsp:val=&quot;007F758D&quot;/&gt;&lt;wsp:rsid wsp:val=&quot;007F7D52&quot;/&gt;&lt;wsp:rsid wsp:val=&quot;0080654C&quot;/&gt;&lt;wsp:rsid wsp:val=&quot;008071C6&quot;/&gt;&lt;wsp:rsid wsp:val=&quot;00817A00&quot;/&gt;&lt;wsp:rsid wsp:val=&quot;00835DB3&quot;/&gt;&lt;wsp:rsid wsp:val=&quot;0083617B&quot;/&gt;&lt;wsp:rsid wsp:val=&quot;008371BD&quot;/&gt;&lt;wsp:rsid wsp:val=&quot;008472C4&quot;/&gt;&lt;wsp:rsid wsp:val=&quot;008504A8&quot;/&gt;&lt;wsp:rsid wsp:val=&quot;0085282E&quot;/&gt;&lt;wsp:rsid wsp:val=&quot;00863408&quot;/&gt;&lt;wsp:rsid wsp:val=&quot;0087198C&quot;/&gt;&lt;wsp:rsid wsp:val=&quot;00872C1F&quot;/&gt;&lt;wsp:rsid wsp:val=&quot;00873B42&quot;/&gt;&lt;wsp:rsid wsp:val=&quot;008856D8&quot;/&gt;&lt;wsp:rsid wsp:val=&quot;00892E82&quot;/&gt;&lt;wsp:rsid wsp:val=&quot;008C1B58&quot;/&gt;&lt;wsp:rsid wsp:val=&quot;008C39AE&quot;/&gt;&lt;wsp:rsid wsp:val=&quot;008C590D&quot;/&gt;&lt;wsp:rsid wsp:val=&quot;008E031B&quot;/&gt;&lt;wsp:rsid wsp:val=&quot;008E7029&quot;/&gt;&lt;wsp:rsid wsp:val=&quot;008E7EF6&quot;/&gt;&lt;wsp:rsid wsp:val=&quot;008F1F98&quot;/&gt;&lt;wsp:rsid wsp:val=&quot;008F6758&quot;/&gt;&lt;wsp:rsid wsp:val=&quot;009040DD&quot;/&gt;&lt;wsp:rsid wsp:val=&quot;00905B47&quot;/&gt;&lt;wsp:rsid wsp:val=&quot;0091331C&quot;/&gt;&lt;wsp:rsid wsp:val=&quot;009279DE&quot;/&gt;&lt;wsp:rsid wsp:val=&quot;00930116&quot;/&gt;&lt;wsp:rsid wsp:val=&quot;0094212C&quot;/&gt;&lt;wsp:rsid wsp:val=&quot;00954689&quot;/&gt;&lt;wsp:rsid wsp:val=&quot;009617C9&quot;/&gt;&lt;wsp:rsid wsp:val=&quot;00961C93&quot;/&gt;&lt;wsp:rsid wsp:val=&quot;00965324&quot;/&gt;&lt;wsp:rsid wsp:val=&quot;0097091E&quot;/&gt;&lt;wsp:rsid wsp:val=&quot;009760D3&quot;/&gt;&lt;wsp:rsid wsp:val=&quot;00977132&quot;/&gt;&lt;wsp:rsid wsp:val=&quot;00981A4B&quot;/&gt;&lt;wsp:rsid wsp:val=&quot;00982501&quot;/&gt;&lt;wsp:rsid wsp:val=&quot;009877D3&quot;/&gt;&lt;wsp:rsid wsp:val=&quot;00994E8F&quot;/&gt;&lt;wsp:rsid wsp:val=&quot;009951DC&quot;/&gt;&lt;wsp:rsid wsp:val=&quot;009959BB&quot;/&gt;&lt;wsp:rsid wsp:val=&quot;00997158&quot;/&gt;&lt;wsp:rsid wsp:val=&quot;009A3A7C&quot;/&gt;&lt;wsp:rsid wsp:val=&quot;009B2ADB&quot;/&gt;&lt;wsp:rsid wsp:val=&quot;009B603A&quot;/&gt;&lt;wsp:rsid wsp:val=&quot;009C2D0E&quot;/&gt;&lt;wsp:rsid wsp:val=&quot;009C3DAC&quot;/&gt;&lt;wsp:rsid wsp:val=&quot;009C42E0&quot;/&gt;&lt;wsp:rsid wsp:val=&quot;009D5362&quot;/&gt;&lt;wsp:rsid wsp:val=&quot;009E1415&quot;/&gt;&lt;wsp:rsid wsp:val=&quot;009E6116&quot;/&gt;&lt;wsp:rsid wsp:val=&quot;00A02E43&quot;/&gt;&lt;wsp:rsid wsp:val=&quot;00A065F9&quot;/&gt;&lt;wsp:rsid wsp:val=&quot;00A07F34&quot;/&gt;&lt;wsp:rsid wsp:val=&quot;00A22154&quot;/&gt;&lt;wsp:rsid wsp:val=&quot;00A25C38&quot;/&gt;&lt;wsp:rsid wsp:val=&quot;00A36BBE&quot;/&gt;&lt;wsp:rsid wsp:val=&quot;00A4307A&quot;/&gt;&lt;wsp:rsid wsp:val=&quot;00A47EBB&quot;/&gt;&lt;wsp:rsid wsp:val=&quot;00A51CDD&quot;/&gt;&lt;wsp:rsid wsp:val=&quot;00A571FA&quot;/&gt;&lt;wsp:rsid wsp:val=&quot;00A6730D&quot;/&gt;&lt;wsp:rsid wsp:val=&quot;00A71625&quot;/&gt;&lt;wsp:rsid wsp:val=&quot;00A71B9B&quot;/&gt;&lt;wsp:rsid wsp:val=&quot;00A751C7&quot;/&gt;&lt;wsp:rsid wsp:val=&quot;00A87844&quot;/&gt;&lt;wsp:rsid wsp:val=&quot;00AA038C&quot;/&gt;&lt;wsp:rsid wsp:val=&quot;00AA7A09&quot;/&gt;&lt;wsp:rsid wsp:val=&quot;00AB3B50&quot;/&gt;&lt;wsp:rsid wsp:val=&quot;00AC05B1&quot;/&gt;&lt;wsp:rsid wsp:val=&quot;00AD356C&quot;/&gt;&lt;wsp:rsid wsp:val=&quot;00AE2914&quot;/&gt;&lt;wsp:rsid wsp:val=&quot;00AE5395&quot;/&gt;&lt;wsp:rsid wsp:val=&quot;00AE6D15&quot;/&gt;&lt;wsp:rsid wsp:val=&quot;00B04182&quot;/&gt;&lt;wsp:rsid wsp:val=&quot;00B07AE3&quot;/&gt;&lt;wsp:rsid wsp:val=&quot;00B11430&quot;/&gt;&lt;wsp:rsid wsp:val=&quot;00B353EB&quot;/&gt;&lt;wsp:rsid wsp:val=&quot;00B4228B&quot;/&gt;&lt;wsp:rsid wsp:val=&quot;00B439C4&quot;/&gt;&lt;wsp:rsid wsp:val=&quot;00B4535E&quot;/&gt;&lt;wsp:rsid wsp:val=&quot;00B5230C&quot;/&gt;&lt;wsp:rsid wsp:val=&quot;00B52A8C&quot;/&gt;&lt;wsp:rsid wsp:val=&quot;00B636A8&quot;/&gt;&lt;wsp:rsid wsp:val=&quot;00B665C6&quot;/&gt;&lt;wsp:rsid wsp:val=&quot;00B805AF&quot;/&gt;&lt;wsp:rsid wsp:val=&quot;00B869EC&quot;/&gt;&lt;wsp:rsid wsp:val=&quot;00B9135E&quot;/&gt;&lt;wsp:rsid wsp:val=&quot;00B9397A&quot;/&gt;&lt;wsp:rsid wsp:val=&quot;00B9633D&quot;/&gt;&lt;wsp:rsid wsp:val=&quot;00BA2EBE&quot;/&gt;&lt;wsp:rsid wsp:val=&quot;00BB0F28&quot;/&gt;&lt;wsp:rsid wsp:val=&quot;00BB458A&quot;/&gt;&lt;wsp:rsid wsp:val=&quot;00BD00D3&quot;/&gt;&lt;wsp:rsid wsp:val=&quot;00BD1659&quot;/&gt;&lt;wsp:rsid wsp:val=&quot;00BD3AA9&quot;/&gt;&lt;wsp:rsid wsp:val=&quot;00BD4A18&quot;/&gt;&lt;wsp:rsid wsp:val=&quot;00BD6DB2&quot;/&gt;&lt;wsp:rsid wsp:val=&quot;00BE11CF&quot;/&gt;&lt;wsp:rsid wsp:val=&quot;00BE21AB&quot;/&gt;&lt;wsp:rsid wsp:val=&quot;00BE55CB&quot;/&gt;&lt;wsp:rsid wsp:val=&quot;00BF617A&quot;/&gt;&lt;wsp:rsid wsp:val=&quot;00C0379D&quot;/&gt;&lt;wsp:rsid wsp:val=&quot;00C03931&quot;/&gt;&lt;wsp:rsid wsp:val=&quot;00C05FE3&quot;/&gt;&lt;wsp:rsid wsp:val=&quot;00C2136D&quot;/&gt;&lt;wsp:rsid wsp:val=&quot;00C214EE&quot;/&gt;&lt;wsp:rsid wsp:val=&quot;00C2314B&quot;/&gt;&lt;wsp:rsid wsp:val=&quot;00C24971&quot;/&gt;&lt;wsp:rsid wsp:val=&quot;00C26BE5&quot;/&gt;&lt;wsp:rsid wsp:val=&quot;00C26E4D&quot;/&gt;&lt;wsp:rsid wsp:val=&quot;00C27909&quot;/&gt;&lt;wsp:rsid wsp:val=&quot;00C27B03&quot;/&gt;&lt;wsp:rsid wsp:val=&quot;00C314E1&quot;/&gt;&lt;wsp:rsid wsp:val=&quot;00C34397&quot;/&gt;&lt;wsp:rsid wsp:val=&quot;00C4095D&quot;/&gt;&lt;wsp:rsid wsp:val=&quot;00C601D2&quot;/&gt;&lt;wsp:rsid wsp:val=&quot;00C657AB&quot;/&gt;&lt;wsp:rsid wsp:val=&quot;00C65BCC&quot;/&gt;&lt;wsp:rsid wsp:val=&quot;00C66970&quot;/&gt;&lt;wsp:rsid wsp:val=&quot;00C8691C&quot;/&gt;&lt;wsp:rsid wsp:val=&quot;00CA168A&quot;/&gt;&lt;wsp:rsid wsp:val=&quot;00CA357E&quot;/&gt;&lt;wsp:rsid wsp:val=&quot;00CA44F9&quot;/&gt;&lt;wsp:rsid wsp:val=&quot;00CA4A69&quot;/&gt;&lt;wsp:rsid wsp:val=&quot;00CC3E0C&quot;/&gt;&lt;wsp:rsid wsp:val=&quot;00CC58D3&quot;/&gt;&lt;wsp:rsid wsp:val=&quot;00CC784D&quot;/&gt;&lt;wsp:rsid wsp:val=&quot;00CC79B1&quot;/&gt;&lt;wsp:rsid wsp:val=&quot;00CE39AE&quot;/&gt;&lt;wsp:rsid wsp:val=&quot;00D0337B&quot;/&gt;&lt;wsp:rsid wsp:val=&quot;00D079B2&quot;/&gt;&lt;wsp:rsid wsp:val=&quot;00D114E9&quot;/&gt;&lt;wsp:rsid wsp:val=&quot;00D429C6&quot;/&gt;&lt;wsp:rsid wsp:val=&quot;00D47748&quot;/&gt;&lt;wsp:rsid wsp:val=&quot;00D54CC3&quot;/&gt;&lt;wsp:rsid wsp:val=&quot;00D6041A&quot;/&gt;&lt;wsp:rsid wsp:val=&quot;00D633EB&quot;/&gt;&lt;wsp:rsid wsp:val=&quot;00D82FF7&quot;/&gt;&lt;wsp:rsid wsp:val=&quot;00D847FE&quot;/&gt;&lt;wsp:rsid wsp:val=&quot;00D964EA&quot;/&gt;&lt;wsp:rsid wsp:val=&quot;00D966D0&quot;/&gt;&lt;wsp:rsid wsp:val=&quot;00D96CBE&quot;/&gt;&lt;wsp:rsid wsp:val=&quot;00DA0C59&quot;/&gt;&lt;wsp:rsid wsp:val=&quot;00DA3991&quot;/&gt;&lt;wsp:rsid wsp:val=&quot;00DB7E6C&quot;/&gt;&lt;wsp:rsid wsp:val=&quot;00DD5A29&quot;/&gt;&lt;wsp:rsid wsp:val=&quot;00DD5D9D&quot;/&gt;&lt;wsp:rsid wsp:val=&quot;00DE35CB&quot;/&gt;&lt;wsp:rsid wsp:val=&quot;00DF21E9&quot;/&gt;&lt;wsp:rsid wsp:val=&quot;00E00F14&quot;/&gt;&lt;wsp:rsid wsp:val=&quot;00E06386&quot;/&gt;&lt;wsp:rsid wsp:val=&quot;00E24EB4&quot;/&gt;&lt;wsp:rsid wsp:val=&quot;00E320ED&quot;/&gt;&lt;wsp:rsid wsp:val=&quot;00E33AFB&quot;/&gt;&lt;wsp:rsid wsp:val=&quot;00E34218&quot;/&gt;&lt;wsp:rsid wsp:val=&quot;00E46282&quot;/&gt;&lt;wsp:rsid wsp:val=&quot;00E5216E&quot;/&gt;&lt;wsp:rsid wsp:val=&quot;00E714CD&quot;/&gt;&lt;wsp:rsid wsp:val=&quot;00E82344&quot;/&gt;&lt;wsp:rsid wsp:val=&quot;00E84C82&quot;/&gt;&lt;wsp:rsid wsp:val=&quot;00E84D64&quot;/&gt;&lt;wsp:rsid wsp:val=&quot;00E87408&quot;/&gt;&lt;wsp:rsid wsp:val=&quot;00E914C4&quot;/&gt;&lt;wsp:rsid wsp:val=&quot;00E934F5&quot;/&gt;&lt;wsp:rsid wsp:val=&quot;00E96961&quot;/&gt;&lt;wsp:rsid wsp:val=&quot;00EA72EC&quot;/&gt;&lt;wsp:rsid wsp:val=&quot;00EB11CB&quot;/&gt;&lt;wsp:rsid wsp:val=&quot;00EB275A&quot;/&gt;&lt;wsp:rsid wsp:val=&quot;00EB786A&quot;/&gt;&lt;wsp:rsid wsp:val=&quot;00EC1578&quot;/&gt;&lt;wsp:rsid wsp:val=&quot;00EC1C72&quot;/&gt;&lt;wsp:rsid wsp:val=&quot;00EC3CC9&quot;/&gt;&lt;wsp:rsid wsp:val=&quot;00EC680A&quot;/&gt;&lt;wsp:rsid wsp:val=&quot;00EE2BED&quot;/&gt;&lt;wsp:rsid wsp:val=&quot;00EE374B&quot;/&gt;&lt;wsp:rsid wsp:val=&quot;00F11BB5&quot;/&gt;&lt;wsp:rsid wsp:val=&quot;00F1417B&quot;/&gt;&lt;wsp:rsid wsp:val=&quot;00F34B99&quot;/&gt;&lt;wsp:rsid wsp:val=&quot;00F43A0E&quot;/&gt;&lt;wsp:rsid wsp:val=&quot;00F52DAB&quot;/&gt;&lt;wsp:rsid wsp:val=&quot;00F543F0&quot;/&gt;&lt;wsp:rsid wsp:val=&quot;00F81D29&quot;/&gt;&lt;wsp:rsid wsp:val=&quot;00F91C4D&quot;/&gt;&lt;wsp:rsid wsp:val=&quot;00F92FD9&quot;/&gt;&lt;wsp:rsid wsp:val=&quot;00FA6684&quot;/&gt;&lt;wsp:rsid wsp:val=&quot;00FA731E&quot;/&gt;&lt;wsp:rsid wsp:val=&quot;00FB2B38&quot;/&gt;&lt;wsp:rsid wsp:val=&quot;00FB3346&quot;/&gt;&lt;wsp:rsid wsp:val=&quot;00FC6358&quot;/&gt;&lt;wsp:rsid wsp:val=&quot;00FD320D&quot;/&gt;&lt;wsp:rsid wsp:val=&quot;00FE23DE&quot;/&gt;&lt;/wsp:rsids&gt;&lt;/w:docPr&gt;&lt;w:body&gt;&lt;wx:sect&gt;&lt;w:p wsp:rsidR=&quot;00730ABF&quot; wsp:rsidRDefault=&quot;00730ABF&quot; wsp:rsidP=&quot;00730ABF&quot;&gt;&lt;m:oMathPara&gt;&lt;m:oMath&gt;&lt;m:r&gt;&lt;w:rPr&gt;&lt;w:rFonts w:ascii=&quot;Cambria Math&quot;/&gt;&lt;wx:font wx:val=&quot;Cambria Math&quot;/&gt;&lt;w:i/&gt;&lt;/w:rPr&gt;&lt;m:t&gt;蠅=&lt;/m:t&gt;&lt;/m:r&gt;&lt;m:sSub&gt;&lt;m:sSubPr&gt;sssssssss&lt;m:ctrlPr&gt;&lt;w:rPr&gt;&lt;w:rFonts w:ascii=&quot;Cambria Math&quot;/&gt;&lt;wx:font wx:val=&quot;Cambria Math&quot;/&gt;&lt;w:i/&gt;&lt;/w:rPr&gt;&lt;/m:ctrlPr&gt;&lt;/m:sSubPr&gt;&lt;m:e&gt;&lt;m:r&gt;&lt;w:rPr&gt;&lt;w:rFonts w:ascii=&quot;Cambria Math&quot;/&gt;&lt;wx:font wx:val=&quot;Cambria Math&quot;/&gt;&lt;w:i/&gt;&lt;/w:rPr&gt;&lt;m:t&gt;蠅&lt;/m:t&gt;&lt;/m:r&gt;&lt;/m:e&gt;&lt;m:subs&gt;s&lt;sms:srs&gt;s&lt;sws:rPr&gt;&lt;w:rFonts w:ascii=&quot;Cambria Math&quot;/&gt;&lt;wx:font wx:val=&quot;Cambria Math&quot;/&gt;&lt;w:i/&gt;&lt;/w:rPr&gt;&lt;m:t&gt;1&lt;/m:t&gt;&lt;/m:r&gt;&lt;/m:sub&gt;&lt;/m:sSub&gt;&lt;m:r&gt;&lt;w:rPr&gt;&lt;w:rFonts w:ascii=&quot;Cambria Math&quot;/&gt;&lt;wx:font wx:val=&quot;Cambria Math&quot;/&gt;&lt;w:i/&gt;&lt;/w:rPr&gt;&lt;m:t&gt;+&lt;/m:t&gt;&lt;/m:r&gt;&lt;m:sSub&gt;&lt;m:sSubPr&gt;&lt;m:ctrlPr&gt;&lt;w:rPr&gt;&lt;w:rFonts w:ascii=&quot;Cambria Math&quot;/&gt;&lt;wx:font wx:val=&quot;Cambria Math&quot;/&gt;&lt;w:i/&gt;&lt;/w:rPr&gt;&lt;/m:ctrlPr&gt;&lt;/m:sSubPr&gt;&lt;m:e&gt;&lt;m:r&gt;&lt;w:rPr&gt;&lt;w:rFonts w:ascii=&quot;Cambria Math&quot;/&gt;&lt;wx:font wx:val=&quot;Cambria Math&quot;/&gt;&lt;w:i/&gt;&lt;/w:rPr&gt;&lt;m:t&gt;蠅&lt;/m:t&gt;&lt;/m:r&gt;&lt;/m:e&gt;&lt;m:su&lt;b&gt;:&lt;mS:rb&gt;&lt;rw:&lt;rP:r&gt;t&lt;wl:rFonts w:ascii=&quot;Cambria Math&quot;/&gt;&lt;wx:font wx:val=&quot;Cambria Math&quot;/&gt;&lt;w:i/&gt;&lt;/w:rPr&gt;&lt;m:t&gt;2&lt;/m:t&gt;&lt;/m:r&gt;&lt;/m:sub&gt;&lt;/m:sSub&gt;&lt;m:r&gt;&lt;w:rPr&gt;&lt;w:rFonts w:ascii=&quot;Cambria Math&quot;/&gt;&lt;w:i/&gt;&lt;/w:rPr&gt;&lt;m:t&gt;脳&lt;/m:t&gt;&lt;/m:r&gt;&lt;m:r&gt;&lt;w:rPr&gt;&lt;w:rFonts w:ascii=&quot;Cambria &lt;Mat:h&quot;/S&gt;&lt;wbx:front&lt; wx::vatl=&quot;lCambria Math&quot;/&gt;&lt;w:i/&gt;&lt;/w:rPr&gt;&lt;m:t&gt;0.0662+&lt;/m:t&gt;&lt;/m:r&gt;&lt;m:sSub&gt;&lt;m:sSubPr&gt;&lt;m:ctrlPr&gt;&lt;w:rPr&gt;&lt;w:rFonts w:ascii=&quot;Cambria Math&quot;/&gt;&lt;wx:font wx:val=&quot;Cambria Math&quot;/&gt;&lt;w:i/&gt;&lt;/w:rPr&gt;&lt;/m:ctrlPr&gt;&lt;/m:sSubPr&gt;&lt;m:e&gt;&lt;m:r&gt;&lt;w:rPr&gt;&lt;w:rFonts w:ascii=&quot;Cambria Math&quot;/&gt;&lt;wx:font wx:val=&quot;Cambria Math&quot;/&gt;&lt;w:i/&gt;&lt;/w:rPr&gt;&lt;m:t&gt;蠅&lt;/m:t&gt;&lt;/m:r&gt;&lt;/m:e&gt;&lt;m:sub&gt;&lt;m:r&gt;&lt;w:rPr&gt;&lt;w:rFonts w:ascii=&quot;Cambria Math&quot;/&gt;&lt;wx:font wx:val=&quot;Cambria Math&quot;/&gt;&lt;w:i/&gt;&lt;/w:rPr&gt;&lt;m:t&gt;3&lt;/m:t&gt;&lt;/m:r&gt;&lt;/m:sub&gt;&lt;/m:sSub&gt;&lt;m:r&gt;&lt;w:rPr&gt;&lt;w:rFonts w:ascii=&quot;CiambrCia Mrath&quot;M/&gt;&lt;w&quot;:i/&gt;w&lt;/w:orPr&gt;w&lt;m:ta&gt;脳&lt;/m:t&gt;&lt;/m:r&gt;&lt;m:r&gt;&lt;w:rPr&gt;&lt;w:rFonts w:ascii=&quot;Cambria Math&quot;/&gt;&lt;wx:font wx:val=&quot;Cambria Math&quot;/&gt;&lt;w:i/&gt;&lt;/w:rPr&gt;&lt;m:t&gt;0.1497+&lt;/m:t&gt;&lt;/m:r&gt;&lt;m:sSub&gt;&lt;m:sSubPr&gt;&lt;m:ctrlPr&gt;&lt;w:rPr&gt;&lt;w:rFonts w:ascii=&quot;Cambria Math&quot;/&gt;&lt;wx:font wx:vali=&quot;CamCbria rMath&quot;M/&gt;&lt;w:&quot;i/&gt;&lt;/ww:rPro&gt;&lt;/m:wctrlPar&gt;&lt;/m:sSubPr&gt;&lt;m:e&gt;&lt;m:r&gt;&lt;w:rPr&gt;&lt;w:rFonts w:ascii=&quot;Cambria Math&quot;/&gt;&lt;wx:font wx:val=&quot;Cambria Math&quot;/&gt;&lt;w:i/&gt;&lt;/w:rPr&gt;&lt;m:t&gt;蠅&lt;/m:t&gt;&lt;/m:r&gt;&lt;/m:e&gt;&lt;m:sub&gt;&lt;m:r&gt;&lt;w:rPr&gt;&lt;w:rFonts w:ascii=&quot;Cambria Math&quot;/&gt;&lt;wx:font wx:val=&quot;Caimbria CMath&quot;/r&gt;&lt;w:i/M&gt;&lt;/w:r&quot;Pr&gt;&lt;m:wt&gt;4&lt;/mo:t&gt;&lt;/mw:r&gt;&lt;/ma:sub&gt;&lt;/m:sSub&gt;&lt;m:r&gt;&lt;w:rPr&gt;&lt;w:rFonts w:ascii=&quot;Cambria Math&quot;/&gt;&lt;w:i/&gt;&lt;/w:rPr&gt;&lt;m:t&gt;脳&lt;/m:t&gt;&lt;/m:r&gt;&lt;m:r&gt;&lt;w:rPr&gt;&lt;w:rFonts w:ascii=&quot;Cambria Math&quot;/&gt;&lt;wx:font wx:val=&quot;Cambria Math&quot;/&gt;&lt;w:i/&gt;&lt;/w:rPr&gt;&lt;m:t&gt;0.3246+&lt;/im:t&gt;&lt;/mC:r&gt;&lt;m:srSub&gt;&lt;m:MsSubPr&gt;&quot;&lt;m:ctrlwPr&gt;&lt;w:roPr&gt;&lt;w:rwFonts wa:ascii=&quot;Cambria Math&quot;/&gt;&lt;wx:font wx:val=&quot;Cambria Math&quot;/&gt;&lt;w:i/&gt;&lt;/w:rPr&gt;&lt;/m:ctrlPr&gt;&lt;/m:sSubPr&gt;&lt;m:e&gt;&lt;m:r&gt;&lt;w:rPr&gt;&lt;w:rFonts w:ascii=&quot;Cambria Math&quot;/&gt;&lt;wx:font wx:val=&quot;Cambria Math&quot;/&gt;&lt;w:i/&gt;&lt;/w:rPr&gt;&lt;m:t&gt;蠅&lt;/m:Ct&gt;&lt;/m:r&gt;r&lt;/m:e&gt;&lt;mM:sub&gt;&lt;m:&quot;r&gt;&lt;w:rPrw&gt;&lt;w:rFonots w:ascwii=&quot;Cambaria Math&quot;/&gt;&lt;wx:font wx:val=&quot;Cambria Math&quot;/&gt;&lt;w:i/&gt;&lt;/w:rPr&gt;&lt;m:t&gt;5&lt;/m:t&gt;&lt;/m:r&gt;&lt;/m:sub&gt;&lt;/m:sSub&gt;&lt;m:r&gt;&lt;w:rPr&gt;&lt;w:rFonts w:ascii=&quot;Cambria Math&quot;/&gt;&lt;w:i/&gt;&lt;/w:rPr&gt;&lt;m:t&gt;脳&lt;/m:t&gt;&lt;/m:r&gt;&lt;m:r&gt;&lt;w:rPr&gt;m:&lt;w:rFontsC w:ascii=r&quot;Cambria MMath&quot;/&gt;&lt;w&quot;x:font wxw:val=&quot;Camobria Mathw&quot;/&gt;&lt;w:i/&gt;a&lt;/w:rPr&gt;&lt;m:t&gt;0.3784&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 chromakey="#FFFFFF" o:title=""/>
            <o:lock v:ext="edit" aspectratio="t"/>
            <w10:wrap type="none"/>
            <w10:anchorlock/>
          </v:shape>
        </w:pict>
      </w:r>
      <w:r>
        <w:instrText xml:space="preserve"> </w:instrText>
      </w:r>
      <w:r>
        <w:fldChar w:fldCharType="separate"/>
      </w:r>
      <w:r>
        <w:fldChar w:fldCharType="end"/>
      </w:r>
      <w:r>
        <w:fldChar w:fldCharType="begin"/>
      </w:r>
      <w:r>
        <w:instrText xml:space="preserve"> QUOTE </w:instrText>
      </w:r>
      <w:r>
        <w:rPr>
          <w:position w:val="-8"/>
        </w:rPr>
        <w:pict>
          <v:shape id="_x0000_i1028" o:spt="75" type="#_x0000_t75" style="height:15.9pt;width:308.3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40&quot;/&gt;&lt;w:removePersonalInformation/&gt;&lt;w:doNotEmbedSystemFonts/&gt;&lt;w:bordersDontSurroundHeader/&gt;&lt;w:bordersDontSurroundFooter/&gt;&lt;w:stylePaneFormatFilter w:val=&quot;3F01&quot;/&gt;&lt;w:documentProtection w:edit=&quot;forms&quot; w:enforcement=&quot;on&quot; w:unprotectPassword=&quot;C8E3CFDF&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035925&quot;/&gt;&lt;wsp:rsid wsp:val=&quot;00000244&quot;/&gt;&lt;wsp:rsid wsp:val=&quot;0000185F&quot;/&gt;&lt;wsp:rsid wsp:val=&quot;00001A51&quot;/&gt;&lt;wsp:rsid wsp:val=&quot;000023E3&quot;/&gt;&lt;wsp:rsid wsp:val=&quot;0000586F&quot;/&gt;&lt;wsp:rsid wsp:val=&quot;00013D86&quot;/&gt;&lt;wsp:rsid wsp:val=&quot;00013E02&quot;/&gt;&lt;wsp:rsid wsp:val=&quot;00014490&quot;/&gt;&lt;wsp:rsid wsp:val=&quot;000144BF&quot;/&gt;&lt;wsp:rsid wsp:val=&quot;0002143C&quot;/&gt;&lt;wsp:rsid wsp:val=&quot;00024207&quot;/&gt;&lt;wsp:rsid wsp:val=&quot;00025A65&quot;/&gt;&lt;wsp:rsid wsp:val=&quot;00026C31&quot;/&gt;&lt;wsp:rsid wsp:val=&quot;00027280&quot;/&gt;&lt;wsp:rsid wsp:val=&quot;000320A7&quot;/&gt;&lt;wsp:rsid wsp:val=&quot;00035925&quot;/&gt;&lt;wsp:rsid wsp:val=&quot;00067CDF&quot;/&gt;&lt;wsp:rsid wsp:val=&quot;00070E6A&quot;/&gt;&lt;wsp:rsid wsp:val=&quot;000711BB&quot;/&gt;&lt;wsp:rsid wsp:val=&quot;00071749&quot;/&gt;&lt;wsp:rsid wsp:val=&quot;00074FBE&quot;/&gt;&lt;wsp:rsid wsp:val=&quot;00083A09&quot;/&gt;&lt;wsp:rsid wsp:val=&quot;00083D0F&quot;/&gt;&lt;wsp:rsid wsp:val=&quot;000860A5&quot;/&gt;&lt;wsp:rsid wsp:val=&quot;0009005E&quot;/&gt;&lt;wsp:rsid wsp:val=&quot;00092857&quot;/&gt;&lt;wsp:rsid wsp:val=&quot;000A011F&quot;/&gt;&lt;wsp:rsid wsp:val=&quot;000A20A9&quot;/&gt;&lt;wsp:rsid wsp:val=&quot;000A48B1&quot;/&gt;&lt;wsp:rsid wsp:val=&quot;000B3143&quot;/&gt;&lt;wsp:rsid wsp:val=&quot;000B34FC&quot;/&gt;&lt;wsp:rsid wsp:val=&quot;000B591F&quot;/&gt;&lt;wsp:rsid wsp:val=&quot;000B5FA5&quot;/&gt;&lt;wsp:rsid wsp:val=&quot;000B6917&quot;/&gt;&lt;wsp:rsid wsp:val=&quot;000B6ED3&quot;/&gt;&lt;wsp:rsid wsp:val=&quot;000C6B05&quot;/&gt;&lt;wsp:rsid wsp:val=&quot;000C6DD6&quot;/&gt;&lt;wsp:rsid wsp:val=&quot;000C73D4&quot;/&gt;&lt;wsp:rsid wsp:val=&quot;000D3D4C&quot;/&gt;&lt;wsp:rsid wsp:val=&quot;000D4F51&quot;/&gt;&lt;wsp:rsid wsp:val=&quot;000D6F84&quot;/&gt;&lt;wsp:rsid wsp:val=&quot;000D718B&quot;/&gt;&lt;wsp:rsid wsp:val=&quot;000D7E78&quot;/&gt;&lt;wsp:rsid wsp:val=&quot;000E0C46&quot;/&gt;&lt;wsp:rsid wsp:val=&quot;000E1AC3&quot;/&gt;&lt;wsp:rsid wsp:val=&quot;000E4FF4&quot;/&gt;&lt;wsp:rsid wsp:val=&quot;000F030C&quot;/&gt;&lt;wsp:rsid wsp:val=&quot;000F129C&quot;/&gt;&lt;wsp:rsid wsp:val=&quot;000F5169&quot;/&gt;&lt;wsp:rsid wsp:val=&quot;001056DE&quot;/&gt;&lt;wsp:rsid wsp:val=&quot;001124C0&quot;/&gt;&lt;wsp:rsid wsp:val=&quot;001162B4&quot;/&gt;&lt;wsp:rsid wsp:val=&quot;00121DDF&quot;/&gt;&lt;wsp:rsid wsp:val=&quot;00122CFC&quot;/&gt;&lt;wsp:rsid wsp:val=&quot;0013175F&quot;/&gt;&lt;wsp:rsid wsp:val=&quot;00141CD5&quot;/&gt;&lt;wsp:rsid wsp:val=&quot;001512B4&quot;/&gt;&lt;wsp:rsid wsp:val=&quot;001620A5&quot;/&gt;&lt;wsp:rsid wsp:val=&quot;00163070&quot;/&gt;&lt;wsp:rsid wsp:val=&quot;00164E53&quot;/&gt;&lt;wsp:rsid wsp:val=&quot;0016699D&quot;/&gt;&lt;wsp:rsid wsp:val=&quot;00175159&quot;/&gt;&lt;wsp:rsid wsp:val=&quot;00176208&quot;/&gt;&lt;wsp:rsid wsp:val=&quot;0018211B&quot;/&gt;&lt;wsp:rsid wsp:val=&quot;001840D3&quot;/&gt;&lt;wsp:rsid wsp:val=&quot;001900F8&quot;/&gt;&lt;wsp:rsid wsp:val=&quot;00190D1B&quot;/&gt;&lt;wsp:rsid wsp:val=&quot;00191258&quot;/&gt;&lt;wsp:rsid wsp:val=&quot;00192680&quot;/&gt;&lt;wsp:rsid wsp:val=&quot;00193037&quot;/&gt;&lt;wsp:rsid wsp:val=&quot;00193A2C&quot;/&gt;&lt;wsp:rsid wsp:val=&quot;00195D7C&quot;/&gt;&lt;wsp:rsid wsp:val=&quot;001A288E&quot;/&gt;&lt;wsp:rsid wsp:val=&quot;001B6DC2&quot;/&gt;&lt;wsp:rsid wsp:val=&quot;001C149C&quot;/&gt;&lt;wsp:rsid wsp:val=&quot;001C21AC&quot;/&gt;&lt;wsp:rsid wsp:val=&quot;001C47BA&quot;/&gt;&lt;wsp:rsid wsp:val=&quot;001C59EA&quot;/&gt;&lt;wsp:rsid wsp:val=&quot;001D3363&quot;/&gt;&lt;wsp:rsid wsp:val=&quot;001D406C&quot;/&gt;&lt;wsp:rsid wsp:val=&quot;001D41EE&quot;/&gt;&lt;wsp:rsid wsp:val=&quot;001E0380&quot;/&gt;&lt;wsp:rsid wsp:val=&quot;001E13B1&quot;/&gt;&lt;wsp:rsid wsp:val=&quot;001E3A12&quot;/&gt;&lt;wsp:rsid wsp:val=&quot;001F3A19&quot;/&gt;&lt;wsp:rsid wsp:val=&quot;00216D48&quot;/&gt;&lt;wsp:rsid wsp:val=&quot;002175EE&quot;/&gt;&lt;wsp:rsid wsp:val=&quot;00217BBA&quot;/&gt;&lt;wsp:rsid wsp:val=&quot;0022738A&quot;/&gt;&lt;wsp:rsid wsp:val=&quot;00234467&quot;/&gt;&lt;wsp:rsid wsp:val=&quot;00237D8D&quot;/&gt;&lt;wsp:rsid wsp:val=&quot;002403B0&quot;/&gt;&lt;wsp:rsid wsp:val=&quot;00241DA2&quot;/&gt;&lt;wsp:rsid wsp:val=&quot;00247FEE&quot;/&gt;&lt;wsp:rsid wsp:val=&quot;00250E7D&quot;/&gt;&lt;wsp:rsid wsp:val=&quot;00252132&quot;/&gt;&lt;wsp:rsid wsp:val=&quot;00255DFB&quot;/&gt;&lt;wsp:rsid wsp:val=&quot;002565D5&quot;/&gt;&lt;wsp:rsid wsp:val=&quot;002622C0&quot;/&gt;&lt;wsp:rsid wsp:val=&quot;00267F2C&quot;/&gt;&lt;wsp:rsid wsp:val=&quot;002778AE&quot;/&gt;&lt;wsp:rsid wsp:val=&quot;0028269A&quot;/&gt;&lt;wsp:rsid wsp:val=&quot;002831F7&quot;/&gt;&lt;wsp:rsid wsp:val=&quot;00283590&quot;/&gt;&lt;wsp:rsid wsp:val=&quot;0028550D&quot;/&gt;&lt;wsp:rsid wsp:val=&quot;00286973&quot;/&gt;&lt;wsp:rsid wsp:val=&quot;00294DF9&quot;/&gt;&lt;wsp:rsid wsp:val=&quot;00294E70&quot;/&gt;&lt;wsp:rsid wsp:val=&quot;00296A56&quot;/&gt;&lt;wsp:rsid wsp:val=&quot;002A1924&quot;/&gt;&lt;wsp:rsid wsp:val=&quot;002A3C29&quot;/&gt;&lt;wsp:rsid wsp:val=&quot;002A7420&quot;/&gt;&lt;wsp:rsid wsp:val=&quot;002B0F12&quot;/&gt;&lt;wsp:rsid wsp:val=&quot;002B1308&quot;/&gt;&lt;wsp:rsid wsp:val=&quot;002B31FD&quot;/&gt;&lt;wsp:rsid wsp:val=&quot;002B4554&quot;/&gt;&lt;wsp:rsid wsp:val=&quot;002C72D8&quot;/&gt;&lt;wsp:rsid wsp:val=&quot;002D11FA&quot;/&gt;&lt;wsp:rsid wsp:val=&quot;002E0DDF&quot;/&gt;&lt;wsp:rsid wsp:val=&quot;002E2906&quot;/&gt;&lt;wsp:rsid wsp:val=&quot;002E4A8E&quot;/&gt;&lt;wsp:rsid wsp:val=&quot;002E5635&quot;/&gt;&lt;wsp:rsid wsp:val=&quot;002E6439&quot;/&gt;&lt;wsp:rsid wsp:val=&quot;002E64C3&quot;/&gt;&lt;wsp:rsid wsp:val=&quot;002E6A2C&quot;/&gt;&lt;wsp:rsid wsp:val=&quot;002E7A58&quot;/&gt;&lt;wsp:rsid wsp:val=&quot;002F1D8C&quot;/&gt;&lt;wsp:rsid wsp:val=&quot;002F21DA&quot;/&gt;&lt;wsp:rsid wsp:val=&quot;002F45E3&quot;/&gt;&lt;wsp:rsid wsp:val=&quot;002F6B20&quot;/&gt;&lt;wsp:rsid wsp:val=&quot;0030198F&quot;/&gt;&lt;wsp:rsid wsp:val=&quot;00301F39&quot;/&gt;&lt;wsp:rsid wsp:val=&quot;00306794&quot;/&gt;&lt;wsp:rsid wsp:val=&quot;00312410&quot;/&gt;&lt;wsp:rsid wsp:val=&quot;00325926&quot;/&gt;&lt;wsp:rsid wsp:val=&quot;00326743&quot;/&gt;&lt;wsp:rsid wsp:val=&quot;00327A8A&quot;/&gt;&lt;wsp:rsid wsp:val=&quot;00334FCA&quot;/&gt;&lt;wsp:rsid wsp:val=&quot;00336610&quot;/&gt;&lt;wsp:rsid wsp:val=&quot;00343F73&quot;/&gt;&lt;wsp:rsid wsp:val=&quot;00345060&quot;/&gt;&lt;wsp:rsid wsp:val=&quot;0035323B&quot;/&gt;&lt;wsp:rsid wsp:val=&quot;003609D2&quot;/&gt;&lt;wsp:rsid wsp:val=&quot;00363F22&quot;/&gt;&lt;wsp:rsid wsp:val=&quot;00375564&quot;/&gt;&lt;wsp:rsid wsp:val=&quot;00380B11&quot;/&gt;&lt;wsp:rsid wsp:val=&quot;00383191&quot;/&gt;&lt;wsp:rsid wsp:val=&quot;00386DED&quot;/&gt;&lt;wsp:rsid wsp:val=&quot;003912E7&quot;/&gt;&lt;wsp:rsid wsp:val=&quot;00393947&quot;/&gt;&lt;wsp:rsid wsp:val=&quot;003A148B&quot;/&gt;&lt;wsp:rsid wsp:val=&quot;003A2275&quot;/&gt;&lt;wsp:rsid wsp:val=&quot;003A6A4F&quot;/&gt;&lt;wsp:rsid wsp:val=&quot;003A7088&quot;/&gt;&lt;wsp:rsid wsp:val=&quot;003B00DF&quot;/&gt;&lt;wsp:rsid wsp:val=&quot;003B1275&quot;/&gt;&lt;wsp:rsid wsp:val=&quot;003B1778&quot;/&gt;&lt;wsp:rsid wsp:val=&quot;003B6D03&quot;/&gt;&lt;wsp:rsid wsp:val=&quot;003C11CB&quot;/&gt;&lt;wsp:rsid wsp:val=&quot;003C75F3&quot;/&gt;&lt;wsp:rsid wsp:val=&quot;003C78A3&quot;/&gt;&lt;wsp:rsid wsp:val=&quot;003E1867&quot;/&gt;&lt;wsp:rsid wsp:val=&quot;003E24F0&quot;/&gt;&lt;wsp:rsid wsp:val=&quot;003E5729&quot;/&gt;&lt;wsp:rsid wsp:val=&quot;003F4EE0&quot;/&gt;&lt;wsp:rsid wsp:val=&quot;003F5A88&quot;/&gt;&lt;wsp:rsid wsp:val=&quot;0040058D&quot;/&gt;&lt;wsp:rsid wsp:val=&quot;00402153&quot;/&gt;&lt;wsp:rsid wsp:val=&quot;00402FC1&quot;/&gt;&lt;wsp:rsid wsp:val=&quot;00410055&quot;/&gt;&lt;wsp:rsid wsp:val=&quot;00413EB0&quot;/&gt;&lt;wsp:rsid wsp:val=&quot;00425082&quot;/&gt;&lt;wsp:rsid wsp:val=&quot;00431DEB&quot;/&gt;&lt;wsp:rsid wsp:val=&quot;00436FAC&quot;/&gt;&lt;wsp:rsid wsp:val=&quot;00446B29&quot;/&gt;&lt;wsp:rsid wsp:val=&quot;00453F9A&quot;/&gt;&lt;wsp:rsid wsp:val=&quot;0046728E&quot;/&gt;&lt;wsp:rsid wsp:val=&quot;00471E91&quot;/&gt;&lt;wsp:rsid wsp:val=&quot;00474675&quot;/&gt;&lt;wsp:rsid wsp:val=&quot;0047470C&quot;/&gt;&lt;wsp:rsid wsp:val=&quot;00486F17&quot;/&gt;&lt;wsp:rsid wsp:val=&quot;00493FE5&quot;/&gt;&lt;wsp:rsid wsp:val=&quot;004965EF&quot;/&gt;&lt;wsp:rsid wsp:val=&quot;004A35F9&quot;/&gt;&lt;wsp:rsid wsp:val=&quot;004B24C1&quot;/&gt;&lt;wsp:rsid wsp:val=&quot;004C292F&quot;/&gt;&lt;wsp:rsid wsp:val=&quot;004D4DB3&quot;/&gt;&lt;wsp:rsid wsp:val=&quot;004D68D2&quot;/&gt;&lt;wsp:rsid wsp:val=&quot;004E0FBB&quot;/&gt;&lt;wsp:rsid wsp:val=&quot;004E412A&quot;/&gt;&lt;wsp:rsid wsp:val=&quot;004E596F&quot;/&gt;&lt;wsp:rsid wsp:val=&quot;004F511D&quot;/&gt;&lt;wsp:rsid wsp:val=&quot;00502759&quot;/&gt;&lt;wsp:rsid wsp:val=&quot;00510280&quot;/&gt;&lt;wsp:rsid wsp:val=&quot;00513D73&quot;/&gt;&lt;wsp:rsid wsp:val=&quot;00514A43&quot;/&gt;&lt;wsp:rsid wsp:val=&quot;005174E5&quot;/&gt;&lt;wsp:rsid wsp:val=&quot;00522393&quot;/&gt;&lt;wsp:rsid wsp:val=&quot;00522620&quot;/&gt;&lt;wsp:rsid wsp:val=&quot;00525656&quot;/&gt;&lt;wsp:rsid wsp:val=&quot;005274ED&quot;/&gt;&lt;wsp:rsid wsp:val=&quot;00531EF5&quot;/&gt;&lt;wsp:rsid wsp:val=&quot;00534934&quot;/&gt;&lt;wsp:rsid wsp:val=&quot;00534C02&quot;/&gt;&lt;wsp:rsid wsp:val=&quot;00535D6C&quot;/&gt;&lt;wsp:rsid wsp:val=&quot;00536353&quot;/&gt;&lt;wsp:rsid wsp:val=&quot;0054264B&quot;/&gt;&lt;wsp:rsid wsp:val=&quot;00543786&quot;/&gt;&lt;wsp:rsid wsp:val=&quot;005533D7&quot;/&gt;&lt;wsp:rsid wsp:val=&quot;005703DE&quot;/&gt;&lt;wsp:rsid wsp:val=&quot;0058464E&quot;/&gt;&lt;wsp:rsid wsp:val=&quot;00592E41&quot;/&gt;&lt;wsp:rsid wsp:val=&quot;0059667D&quot;/&gt;&lt;wsp:rsid wsp:val=&quot;005976A7&quot;/&gt;&lt;wsp:rsid wsp:val=&quot;005A01CB&quot;/&gt;&lt;wsp:rsid wsp:val=&quot;005A235A&quot;/&gt;&lt;wsp:rsid wsp:val=&quot;005A58FF&quot;/&gt;&lt;wsp:rsid wsp:val=&quot;005A5EAF&quot;/&gt;&lt;wsp:rsid wsp:val=&quot;005A64C0&quot;/&gt;&lt;wsp:rsid wsp:val=&quot;005A7C0B&quot;/&gt;&lt;wsp:rsid wsp:val=&quot;005B09DE&quot;/&gt;&lt;wsp:rsid wsp:val=&quot;005B0F1E&quot;/&gt;&lt;wsp:rsid wsp:val=&quot;005B1420&quot;/&gt;&lt;wsp:rsid wsp:val=&quot;005B3C11&quot;/&gt;&lt;wsp:rsid wsp:val=&quot;005B7207&quot;/&gt;&lt;wsp:rsid wsp:val=&quot;005C1C28&quot;/&gt;&lt;wsp:rsid wsp:val=&quot;005C32BF&quot;/&gt;&lt;wsp:rsid wsp:val=&quot;005C6D17&quot;/&gt;&lt;wsp:rsid wsp:val=&quot;005C6DB5&quot;/&gt;&lt;wsp:rsid wsp:val=&quot;005D1373&quot;/&gt;&lt;wsp:rsid wsp:val=&quot;005D334C&quot;/&gt;&lt;wsp:rsid wsp:val=&quot;005E06E2&quot;/&gt;&lt;wsp:rsid wsp:val=&quot;005E19E7&quot;/&gt;&lt;wsp:rsid wsp:val=&quot;005F6536&quot;/&gt;&lt;wsp:rsid wsp:val=&quot;00606252&quot;/&gt;&lt;wsp:rsid wsp:val=&quot;00611D48&quot;/&gt;&lt;wsp:rsid wsp:val=&quot;006144D6&quot;/&gt;&lt;wsp:rsid wsp:val=&quot;0061479C&quot;/&gt;&lt;wsp:rsid wsp:val=&quot;0061716C&quot;/&gt;&lt;wsp:rsid wsp:val=&quot;006243A1&quot;/&gt;&lt;wsp:rsid wsp:val=&quot;00632E56&quot;/&gt;&lt;wsp:rsid wsp:val=&quot;00635CBA&quot;/&gt;&lt;wsp:rsid wsp:val=&quot;0064338B&quot;/&gt;&lt;wsp:rsid wsp:val=&quot;00646542&quot;/&gt;&lt;wsp:rsid wsp:val=&quot;00646BC1&quot;/&gt;&lt;wsp:rsid wsp:val=&quot;006504F4&quot;/&gt;&lt;wsp:rsid wsp:val=&quot;00651F0A&quot;/&gt;&lt;wsp:rsid wsp:val=&quot;00654BC9&quot;/&gt;&lt;wsp:rsid wsp:val=&quot;006552FD&quot;/&gt;&lt;wsp:rsid wsp:val=&quot;00661BAF&quot;/&gt;&lt;wsp:rsid wsp:val=&quot;0066220A&quot;/&gt;&lt;wsp:rsid wsp:val=&quot;00663AF3&quot;/&gt;&lt;wsp:rsid wsp:val=&quot;00666B6C&quot;/&gt;&lt;wsp:rsid wsp:val=&quot;00676120&quot;/&gt;&lt;wsp:rsid wsp:val=&quot;00682682&quot;/&gt;&lt;wsp:rsid wsp:val=&quot;00682702&quot;/&gt;&lt;wsp:rsid wsp:val=&quot;00692368&quot;/&gt;&lt;wsp:rsid wsp:val=&quot;006A2EBC&quot;/&gt;&lt;wsp:rsid wsp:val=&quot;006A5EA0&quot;/&gt;&lt;wsp:rsid wsp:val=&quot;006A783B&quot;/&gt;&lt;wsp:rsid wsp:val=&quot;006A7B33&quot;/&gt;&lt;wsp:rsid wsp:val=&quot;006B354D&quot;/&gt;&lt;wsp:rsid wsp:val=&quot;006B395E&quot;/&gt;&lt;wsp:rsid wsp:val=&quot;006B4E13&quot;/&gt;&lt;wsp:rsid wsp:val=&quot;006B75DD&quot;/&gt;&lt;wsp:rsid wsp:val=&quot;006C67E0&quot;/&gt;&lt;wsp:rsid wsp:val=&quot;006C7ABA&quot;/&gt;&lt;wsp:rsid wsp:val=&quot;006D0D60&quot;/&gt;&lt;wsp:rsid wsp:val=&quot;006D1122&quot;/&gt;&lt;wsp:rsid wsp:val=&quot;006D3C00&quot;/&gt;&lt;wsp:rsid wsp:val=&quot;006E3675&quot;/&gt;&lt;wsp:rsid wsp:val=&quot;006E372E&quot;/&gt;&lt;wsp:rsid wsp:val=&quot;006E4A1A&quot;/&gt;&lt;wsp:rsid wsp:val=&quot;006E4A7F&quot;/&gt;&lt;wsp:rsid wsp:val=&quot;006F1F39&quot;/&gt;&lt;wsp:rsid wsp:val=&quot;00704DF6&quot;/&gt;&lt;wsp:rsid wsp:val=&quot;0070651C&quot;/&gt;&lt;wsp:rsid wsp:val=&quot;007132A3&quot;/&gt;&lt;wsp:rsid wsp:val=&quot;00714AF0&quot;/&gt;&lt;wsp:rsid wsp:val=&quot;00716421&quot;/&gt;&lt;wsp:rsid wsp:val=&quot;00724A15&quot;/&gt;&lt;wsp:rsid wsp:val=&quot;00724EFB&quot;/&gt;&lt;wsp:rsid wsp:val=&quot;007327CA&quot;/&gt;&lt;wsp:rsid wsp:val=&quot;007419C3&quot;/&gt;&lt;wsp:rsid wsp:val=&quot;007467A7&quot;/&gt;&lt;wsp:rsid wsp:val=&quot;007469DD&quot;/&gt;&lt;wsp:rsid wsp:val=&quot;0074741B&quot;/&gt;&lt;wsp:rsid wsp:val=&quot;0074759E&quot;/&gt;&lt;wsp:rsid wsp:val=&quot;007478EA&quot;/&gt;&lt;wsp:rsid wsp:val=&quot;00753A3A&quot;/&gt;&lt;wsp:rsid wsp:val=&quot;0075415C&quot;/&gt;&lt;wsp:rsid wsp:val=&quot;00755D6E&quot;/&gt;&lt;wsp:rsid wsp:val=&quot;00763502&quot;/&gt;&lt;wsp:rsid wsp:val=&quot;00774158&quot;/&gt;&lt;wsp:rsid wsp:val=&quot;0078623B&quot;/&gt;&lt;wsp:rsid wsp:val=&quot;007913AB&quot;/&gt;&lt;wsp:rsid wsp:val=&quot;007914F7&quot;/&gt;&lt;wsp:rsid wsp:val=&quot;0079194E&quot;/&gt;&lt;wsp:rsid wsp:val=&quot;007973A7&quot;/&gt;&lt;wsp:rsid wsp:val=&quot;00797CF1&quot;/&gt;&lt;wsp:rsid wsp:val=&quot;007B1625&quot;/&gt;&lt;wsp:rsid wsp:val=&quot;007B706E&quot;/&gt;&lt;wsp:rsid wsp:val=&quot;007B71EB&quot;/&gt;&lt;wsp:rsid wsp:val=&quot;007C3953&quot;/&gt;&lt;wsp:rsid wsp:val=&quot;007C6205&quot;/&gt;&lt;wsp:rsid wsp:val=&quot;007C686A&quot;/&gt;&lt;wsp:rsid wsp:val=&quot;007C728E&quot;/&gt;&lt;wsp:rsid wsp:val=&quot;007D2C53&quot;/&gt;&lt;wsp:rsid wsp:val=&quot;007D397C&quot;/&gt;&lt;wsp:rsid wsp:val=&quot;007D3D60&quot;/&gt;&lt;wsp:rsid wsp:val=&quot;007E1980&quot;/&gt;&lt;wsp:rsid wsp:val=&quot;007E4B76&quot;/&gt;&lt;wsp:rsid wsp:val=&quot;007E5EA8&quot;/&gt;&lt;wsp:rsid wsp:val=&quot;007F0CF1&quot;/&gt;&lt;wsp:rsid wsp:val=&quot;007F12A5&quot;/&gt;&lt;wsp:rsid wsp:val=&quot;007F345D&quot;/&gt;&lt;wsp:rsid wsp:val=&quot;007F4CF1&quot;/&gt;&lt;wsp:rsid wsp:val=&quot;007F4EEA&quot;/&gt;&lt;wsp:rsid wsp:val=&quot;007F758D&quot;/&gt;&lt;wsp:rsid wsp:val=&quot;007F7D52&quot;/&gt;&lt;wsp:rsid wsp:val=&quot;0080654C&quot;/&gt;&lt;wsp:rsid wsp:val=&quot;008071C6&quot;/&gt;&lt;wsp:rsid wsp:val=&quot;0081261E&quot;/&gt;&lt;wsp:rsid wsp:val=&quot;00812FCA&quot;/&gt;&lt;wsp:rsid wsp:val=&quot;00817A00&quot;/&gt;&lt;wsp:rsid wsp:val=&quot;00820A13&quot;/&gt;&lt;wsp:rsid wsp:val=&quot;0082688F&quot;/&gt;&lt;wsp:rsid wsp:val=&quot;00833E62&quot;/&gt;&lt;wsp:rsid wsp:val=&quot;00835DB3&quot;/&gt;&lt;wsp:rsid wsp:val=&quot;0083617B&quot;/&gt;&lt;wsp:rsid wsp:val=&quot;008371BD&quot;/&gt;&lt;wsp:rsid wsp:val=&quot;00850075&quot;/&gt;&lt;wsp:rsid wsp:val=&quot;008504A8&quot;/&gt;&lt;wsp:rsid wsp:val=&quot;00850E52&quot;/&gt;&lt;wsp:rsid wsp:val=&quot;0085105E&quot;/&gt;&lt;wsp:rsid wsp:val=&quot;00852030&quot;/&gt;&lt;wsp:rsid wsp:val=&quot;0085282E&quot;/&gt;&lt;wsp:rsid wsp:val=&quot;00864811&quot;/&gt;&lt;wsp:rsid wsp:val=&quot;0087198C&quot;/&gt;&lt;wsp:rsid wsp:val=&quot;00872C1F&quot;/&gt;&lt;wsp:rsid wsp:val=&quot;00873B42&quot;/&gt;&lt;wsp:rsid wsp:val=&quot;008830B3&quot;/&gt;&lt;wsp:rsid wsp:val=&quot;008856D8&quot;/&gt;&lt;wsp:rsid wsp:val=&quot;008915EB&quot;/&gt;&lt;wsp:rsid wsp:val=&quot;00892E82&quot;/&gt;&lt;wsp:rsid wsp:val=&quot;008B4D8A&quot;/&gt;&lt;wsp:rsid wsp:val=&quot;008C1B58&quot;/&gt;&lt;wsp:rsid wsp:val=&quot;008C372F&quot;/&gt;&lt;wsp:rsid wsp:val=&quot;008C39AE&quot;/&gt;&lt;wsp:rsid wsp:val=&quot;008C590D&quot;/&gt;&lt;wsp:rsid wsp:val=&quot;008D61D3&quot;/&gt;&lt;wsp:rsid wsp:val=&quot;008E031B&quot;/&gt;&lt;wsp:rsid wsp:val=&quot;008E7029&quot;/&gt;&lt;wsp:rsid wsp:val=&quot;008E7DCC&quot;/&gt;&lt;wsp:rsid wsp:val=&quot;008E7EF6&quot;/&gt;&lt;wsp:rsid wsp:val=&quot;008F0572&quot;/&gt;&lt;wsp:rsid wsp:val=&quot;008F1F98&quot;/&gt;&lt;wsp:rsid wsp:val=&quot;008F5FB6&quot;/&gt;&lt;wsp:rsid wsp:val=&quot;008F6758&quot;/&gt;&lt;wsp:rsid wsp:val=&quot;00901514&quot;/&gt;&lt;wsp:rsid wsp:val=&quot;00902541&quot;/&gt;&lt;wsp:rsid wsp:val=&quot;009040DD&quot;/&gt;&lt;wsp:rsid wsp:val=&quot;00905B47&quot;/&gt;&lt;wsp:rsid wsp:val=&quot;00905E2E&quot;/&gt;&lt;wsp:rsid wsp:val=&quot;0091331C&quot;/&gt;&lt;wsp:rsid wsp:val=&quot;00922402&quot;/&gt;&lt;wsp:rsid wsp:val=&quot;009279DE&quot;/&gt;&lt;wsp:rsid wsp:val=&quot;00930116&quot;/&gt;&lt;wsp:rsid wsp:val=&quot;0093784C&quot;/&gt;&lt;wsp:rsid wsp:val=&quot;009378E0&quot;/&gt;&lt;wsp:rsid wsp:val=&quot;009407DA&quot;/&gt;&lt;wsp:rsid wsp:val=&quot;0094212C&quot;/&gt;&lt;wsp:rsid wsp:val=&quot;00951FE4&quot;/&gt;&lt;wsp:rsid wsp:val=&quot;00952B5C&quot;/&gt;&lt;wsp:rsid wsp:val=&quot;00953DFD&quot;/&gt;&lt;wsp:rsid wsp:val=&quot;00954689&quot;/&gt;&lt;wsp:rsid wsp:val=&quot;0095730C&quot;/&gt;&lt;wsp:rsid wsp:val=&quot;009617C9&quot;/&gt;&lt;wsp:rsid wsp:val=&quot;00961C93&quot;/&gt;&lt;wsp:rsid wsp:val=&quot;00962575&quot;/&gt;&lt;wsp:rsid wsp:val=&quot;00965324&quot;/&gt;&lt;wsp:rsid wsp:val=&quot;0097091E&quot;/&gt;&lt;wsp:rsid wsp:val=&quot;0097189D&quot;/&gt;&lt;wsp:rsid wsp:val=&quot;009760D3&quot;/&gt;&lt;wsp:rsid wsp:val=&quot;00977132&quot;/&gt;&lt;wsp:rsid wsp:val=&quot;00981A4B&quot;/&gt;&lt;wsp:rsid wsp:val=&quot;00982501&quot;/&gt;&lt;wsp:rsid wsp:val=&quot;009838EA&quot;/&gt;&lt;wsp:rsid wsp:val=&quot;009877D3&quot;/&gt;&lt;wsp:rsid wsp:val=&quot;00994E8F&quot;/&gt;&lt;wsp:rsid wsp:val=&quot;009951DC&quot;/&gt;&lt;wsp:rsid wsp:val=&quot;009959BB&quot;/&gt;&lt;wsp:rsid wsp:val=&quot;00997158&quot;/&gt;&lt;wsp:rsid wsp:val=&quot;009A2E9B&quot;/&gt;&lt;wsp:rsid wsp:val=&quot;009A3A7C&quot;/&gt;&lt;wsp:rsid wsp:val=&quot;009A53B1&quot;/&gt;&lt;wsp:rsid wsp:val=&quot;009B2ADB&quot;/&gt;&lt;wsp:rsid wsp:val=&quot;009B4E64&quot;/&gt;&lt;wsp:rsid wsp:val=&quot;009B603A&quot;/&gt;&lt;wsp:rsid wsp:val=&quot;009C2D0E&quot;/&gt;&lt;wsp:rsid wsp:val=&quot;009C3C13&quot;/&gt;&lt;wsp:rsid wsp:val=&quot;009C3DAC&quot;/&gt;&lt;wsp:rsid wsp:val=&quot;009C42E0&quot;/&gt;&lt;wsp:rsid wsp:val=&quot;009D5362&quot;/&gt;&lt;wsp:rsid wsp:val=&quot;009E1415&quot;/&gt;&lt;wsp:rsid wsp:val=&quot;009E6116&quot;/&gt;&lt;wsp:rsid wsp:val=&quot;009F5527&quot;/&gt;&lt;wsp:rsid wsp:val=&quot;009F75D3&quot;/&gt;&lt;wsp:rsid wsp:val=&quot;00A02E43&quot;/&gt;&lt;wsp:rsid wsp:val=&quot;00A065F9&quot;/&gt;&lt;wsp:rsid wsp:val=&quot;00A07F34&quot;/&gt;&lt;wsp:rsid wsp:val=&quot;00A1091E&quot;/&gt;&lt;wsp:rsid wsp:val=&quot;00A1764F&quot;/&gt;&lt;wsp:rsid wsp:val=&quot;00A22154&quot;/&gt;&lt;wsp:rsid wsp:val=&quot;00A24B2D&quot;/&gt;&lt;wsp:rsid wsp:val=&quot;00A25C38&quot;/&gt;&lt;wsp:rsid wsp:val=&quot;00A3323D&quot;/&gt;&lt;wsp:rsid wsp:val=&quot;00A36BBE&quot;/&gt;&lt;wsp:rsid wsp:val=&quot;00A3765E&quot;/&gt;&lt;wsp:rsid wsp:val=&quot;00A4307A&quot;/&gt;&lt;wsp:rsid wsp:val=&quot;00A46484&quot;/&gt;&lt;wsp:rsid wsp:val=&quot;00A47EBB&quot;/&gt;&lt;wsp:rsid wsp:val=&quot;00A51CDD&quot;/&gt;&lt;wsp:rsid wsp:val=&quot;00A6730D&quot;/&gt;&lt;wsp:rsid wsp:val=&quot;00A71625&quot;/&gt;&lt;wsp:rsid wsp:val=&quot;00A71B9B&quot;/&gt;&lt;wsp:rsid wsp:val=&quot;00A751C7&quot;/&gt;&lt;wsp:rsid wsp:val=&quot;00A84C8D&quot;/&gt;&lt;wsp:rsid wsp:val=&quot;00A87844&quot;/&gt;&lt;wsp:rsid wsp:val=&quot;00A93685&quot;/&gt;&lt;wsp:rsid wsp:val=&quot;00AA038C&quot;/&gt;&lt;wsp:rsid wsp:val=&quot;00AA7A09&quot;/&gt;&lt;wsp:rsid wsp:val=&quot;00AB3B50&quot;/&gt;&lt;wsp:rsid wsp:val=&quot;00AC05B1&quot;/&gt;&lt;wsp:rsid wsp:val=&quot;00AC7F5A&quot;/&gt;&lt;wsp:rsid wsp:val=&quot;00AD356C&quot;/&gt;&lt;wsp:rsid wsp:val=&quot;00AE2914&quot;/&gt;&lt;wsp:rsid wsp:val=&quot;00AE2CCB&quot;/&gt;&lt;wsp:rsid wsp:val=&quot;00AE6D15&quot;/&gt;&lt;wsp:rsid wsp:val=&quot;00AF00B2&quot;/&gt;&lt;wsp:rsid wsp:val=&quot;00AF2CCD&quot;/&gt;&lt;wsp:rsid wsp:val=&quot;00B04182&quot;/&gt;&lt;wsp:rsid wsp:val=&quot;00B07AE3&quot;/&gt;&lt;wsp:rsid wsp:val=&quot;00B11430&quot;/&gt;&lt;wsp:rsid wsp:val=&quot;00B30278&quot;/&gt;&lt;wsp:rsid wsp:val=&quot;00B353EB&quot;/&gt;&lt;wsp:rsid wsp:val=&quot;00B419AC&quot;/&gt;&lt;wsp:rsid wsp:val=&quot;00B439C4&quot;/&gt;&lt;wsp:rsid wsp:val=&quot;00B4535E&quot;/&gt;&lt;wsp:rsid wsp:val=&quot;00B52A8C&quot;/&gt;&lt;wsp:rsid wsp:val=&quot;00B636A8&quot;/&gt;&lt;wsp:rsid wsp:val=&quot;00B665C6&quot;/&gt;&lt;wsp:rsid wsp:val=&quot;00B7194A&quot;/&gt;&lt;wsp:rsid wsp:val=&quot;00B7343A&quot;/&gt;&lt;wsp:rsid wsp:val=&quot;00B805AF&quot;/&gt;&lt;wsp:rsid wsp:val=&quot;00B869EC&quot;/&gt;&lt;wsp:rsid wsp:val=&quot;00B9397A&quot;/&gt;&lt;wsp:rsid wsp:val=&quot;00B9633D&quot;/&gt;&lt;wsp:rsid wsp:val=&quot;00B96B9D&quot;/&gt;&lt;wsp:rsid wsp:val=&quot;00BA2EBE&quot;/&gt;&lt;wsp:rsid wsp:val=&quot;00BB092B&quot;/&gt;&lt;wsp:rsid wsp:val=&quot;00BB0F28&quot;/&gt;&lt;wsp:rsid wsp:val=&quot;00BB458A&quot;/&gt;&lt;wsp:rsid wsp:val=&quot;00BD00D3&quot;/&gt;&lt;wsp:rsid wsp:val=&quot;00BD1659&quot;/&gt;&lt;wsp:rsid wsp:val=&quot;00BD3AA9&quot;/&gt;&lt;wsp:rsid wsp:val=&quot;00BD4A18&quot;/&gt;&lt;wsp:rsid wsp:val=&quot;00BD6DB2&quot;/&gt;&lt;wsp:rsid wsp:val=&quot;00BE11CF&quot;/&gt;&lt;wsp:rsid wsp:val=&quot;00BE21AB&quot;/&gt;&lt;wsp:rsid wsp:val=&quot;00BE38C4&quot;/&gt;&lt;wsp:rsid wsp:val=&quot;00BE55CB&quot;/&gt;&lt;wsp:rsid wsp:val=&quot;00BE573F&quot;/&gt;&lt;wsp:rsid wsp:val=&quot;00BF5B42&quot;/&gt;&lt;wsp:rsid wsp:val=&quot;00BF617A&quot;/&gt;&lt;wsp:rsid wsp:val=&quot;00C0379D&quot;/&gt;&lt;wsp:rsid wsp:val=&quot;00C03931&quot;/&gt;&lt;wsp:rsid wsp:val=&quot;00C05FE3&quot;/&gt;&lt;wsp:rsid wsp:val=&quot;00C178D1&quot;/&gt;&lt;wsp:rsid wsp:val=&quot;00C2136D&quot;/&gt;&lt;wsp:rsid wsp:val=&quot;00C21420&quot;/&gt;&lt;wsp:rsid wsp:val=&quot;00C214EE&quot;/&gt;&lt;wsp:rsid wsp:val=&quot;00C2314B&quot;/&gt;&lt;wsp:rsid wsp:val=&quot;00C23F57&quot;/&gt;&lt;wsp:rsid wsp:val=&quot;00C24971&quot;/&gt;&lt;wsp:rsid wsp:val=&quot;00C26BE5&quot;/&gt;&lt;wsp:rsid wsp:val=&quot;00C26E4D&quot;/&gt;&lt;wsp:rsid wsp:val=&quot;00C27909&quot;/&gt;&lt;wsp:rsid wsp:val=&quot;00C27B03&quot;/&gt;&lt;wsp:rsid wsp:val=&quot;00C314E1&quot;/&gt;&lt;wsp:rsid wsp:val=&quot;00C340C8&quot;/&gt;&lt;wsp:rsid wsp:val=&quot;00C34397&quot;/&gt;&lt;wsp:rsid wsp:val=&quot;00C4095D&quot;/&gt;&lt;wsp:rsid wsp:val=&quot;00C46900&quot;/&gt;&lt;wsp:rsid wsp:val=&quot;00C601D2&quot;/&gt;&lt;wsp:rsid wsp:val=&quot;00C657AB&quot;/&gt;&lt;wsp:rsid wsp:val=&quot;00C65BCC&quot;/&gt;&lt;wsp:rsid wsp:val=&quot;00C66970&quot;/&gt;&lt;wsp:rsid wsp:val=&quot;00C73442&quot;/&gt;&lt;wsp:rsid wsp:val=&quot;00C75599&quot;/&gt;&lt;wsp:rsid wsp:val=&quot;00C808C3&quot;/&gt;&lt;wsp:rsid wsp:val=&quot;00C8691C&quot;/&gt;&lt;wsp:rsid wsp:val=&quot;00C95B50&quot;/&gt;&lt;wsp:rsid wsp:val=&quot;00CA15D0&quot;/&gt;&lt;wsp:rsid wsp:val=&quot;00CA168A&quot;/&gt;&lt;wsp:rsid wsp:val=&quot;00CA357E&quot;/&gt;&lt;wsp:rsid wsp:val=&quot;00CA44F9&quot;/&gt;&lt;wsp:rsid wsp:val=&quot;00CA4A69&quot;/&gt;&lt;wsp:rsid wsp:val=&quot;00CA5B54&quot;/&gt;&lt;wsp:rsid wsp:val=&quot;00CC3E0C&quot;/&gt;&lt;wsp:rsid wsp:val=&quot;00CC58D3&quot;/&gt;&lt;wsp:rsid wsp:val=&quot;00CC7434&quot;/&gt;&lt;wsp:rsid wsp:val=&quot;00CC784D&quot;/&gt;&lt;wsp:rsid wsp:val=&quot;00CE368C&quot;/&gt;&lt;wsp:rsid wsp:val=&quot;00CF7A1B&quot;/&gt;&lt;wsp:rsid wsp:val=&quot;00D0337B&quot;/&gt;&lt;wsp:rsid wsp:val=&quot;00D079B2&quot;/&gt;&lt;wsp:rsid wsp:val=&quot;00D114E9&quot;/&gt;&lt;wsp:rsid wsp:val=&quot;00D238C4&quot;/&gt;&lt;wsp:rsid wsp:val=&quot;00D25DF7&quot;/&gt;&lt;wsp:rsid wsp:val=&quot;00D32EF3&quot;/&gt;&lt;wsp:rsid wsp:val=&quot;00D34610&quot;/&gt;&lt;wsp:rsid wsp:val=&quot;00D429C6&quot;/&gt;&lt;wsp:rsid wsp:val=&quot;00D47748&quot;/&gt;&lt;wsp:rsid wsp:val=&quot;00D54CC3&quot;/&gt;&lt;wsp:rsid wsp:val=&quot;00D566B1&quot;/&gt;&lt;wsp:rsid wsp:val=&quot;00D6041A&quot;/&gt;&lt;wsp:rsid wsp:val=&quot;00D633EB&quot;/&gt;&lt;wsp:rsid wsp:val=&quot;00D82FF7&quot;/&gt;&lt;wsp:rsid wsp:val=&quot;00D847FE&quot;/&gt;&lt;wsp:rsid wsp:val=&quot;00D964EA&quot;/&gt;&lt;wsp:rsid wsp:val=&quot;00D966D0&quot;/&gt;&lt;wsp:rsid wsp:val=&quot;00DA0C59&quot;/&gt;&lt;wsp:rsid wsp:val=&quot;00DA3991&quot;/&gt;&lt;wsp:rsid wsp:val=&quot;00DB18D6&quot;/&gt;&lt;wsp:rsid wsp:val=&quot;00DB1D2D&quot;/&gt;&lt;wsp:rsid wsp:val=&quot;00DB7E6C&quot;/&gt;&lt;wsp:rsid wsp:val=&quot;00DC43C9&quot;/&gt;&lt;wsp:rsid wsp:val=&quot;00DD5A29&quot;/&gt;&lt;wsp:rsid wsp:val=&quot;00DD5D9D&quot;/&gt;&lt;wsp:rsid wsp:val=&quot;00DE35CB&quot;/&gt;&lt;wsp:rsid wsp:val=&quot;00DE4DAF&quot;/&gt;&lt;wsp:rsid wsp:val=&quot;00DF137D&quot;/&gt;&lt;wsp:rsid wsp:val=&quot;00DF21E9&quot;/&gt;&lt;wsp:rsid wsp:val=&quot;00DF4DD9&quot;/&gt;&lt;wsp:rsid wsp:val=&quot;00E00F14&quot;/&gt;&lt;wsp:rsid wsp:val=&quot;00E06386&quot;/&gt;&lt;wsp:rsid wsp:val=&quot;00E075D3&quot;/&gt;&lt;wsp:rsid wsp:val=&quot;00E11EFE&quot;/&gt;&lt;wsp:rsid wsp:val=&quot;00E17F3A&quot;/&gt;&lt;wsp:rsid wsp:val=&quot;00E24EB4&quot;/&gt;&lt;wsp:rsid wsp:val=&quot;00E31097&quot;/&gt;&lt;wsp:rsid wsp:val=&quot;00E320ED&quot;/&gt;&lt;wsp:rsid wsp:val=&quot;00E33AFB&quot;/&gt;&lt;wsp:rsid wsp:val=&quot;00E34218&quot;/&gt;&lt;wsp:rsid wsp:val=&quot;00E37DEA&quot;/&gt;&lt;wsp:rsid wsp:val=&quot;00E46282&quot;/&gt;&lt;wsp:rsid wsp:val=&quot;00E5216E&quot;/&gt;&lt;wsp:rsid wsp:val=&quot;00E5767E&quot;/&gt;&lt;wsp:rsid wsp:val=&quot;00E82344&quot;/&gt;&lt;wsp:rsid wsp:val=&quot;00E84C82&quot;/&gt;&lt;wsp:rsid wsp:val=&quot;00E84D64&quot;/&gt;&lt;wsp:rsid wsp:val=&quot;00E85FDB&quot;/&gt;&lt;wsp:rsid wsp:val=&quot;00E87408&quot;/&gt;&lt;wsp:rsid wsp:val=&quot;00E9065C&quot;/&gt;&lt;wsp:rsid wsp:val=&quot;00E914C4&quot;/&gt;&lt;wsp:rsid wsp:val=&quot;00E934F5&quot;/&gt;&lt;wsp:rsid wsp:val=&quot;00E9368F&quot;/&gt;&lt;wsp:rsid wsp:val=&quot;00E96961&quot;/&gt;&lt;wsp:rsid wsp:val=&quot;00EA3A16&quot;/&gt;&lt;wsp:rsid wsp:val=&quot;00EA72EC&quot;/&gt;&lt;wsp:rsid wsp:val=&quot;00EB0674&quot;/&gt;&lt;wsp:rsid wsp:val=&quot;00EB11CB&quot;/&gt;&lt;wsp:rsid wsp:val=&quot;00EB275A&quot;/&gt;&lt;wsp:rsid wsp:val=&quot;00EB3278&quot;/&gt;&lt;wsp:rsid wsp:val=&quot;00EB786A&quot;/&gt;&lt;wsp:rsid wsp:val=&quot;00EC1578&quot;/&gt;&lt;wsp:rsid wsp:val=&quot;00EC1C72&quot;/&gt;&lt;wsp:rsid wsp:val=&quot;00EC3CC9&quot;/&gt;&lt;wsp:rsid wsp:val=&quot;00EC4046&quot;/&gt;&lt;wsp:rsid wsp:val=&quot;00EC680A&quot;/&gt;&lt;wsp:rsid wsp:val=&quot;00ED0E0A&quot;/&gt;&lt;wsp:rsid wsp:val=&quot;00ED1957&quot;/&gt;&lt;wsp:rsid wsp:val=&quot;00ED3958&quot;/&gt;&lt;wsp:rsid wsp:val=&quot;00EE2BED&quot;/&gt;&lt;wsp:rsid wsp:val=&quot;00EE374B&quot;/&gt;&lt;wsp:rsid wsp:val=&quot;00EF203A&quot;/&gt;&lt;wsp:rsid wsp:val=&quot;00EF26DC&quot;/&gt;&lt;wsp:rsid wsp:val=&quot;00F06D01&quot;/&gt;&lt;wsp:rsid wsp:val=&quot;00F11BB5&quot;/&gt;&lt;wsp:rsid wsp:val=&quot;00F1417B&quot;/&gt;&lt;wsp:rsid wsp:val=&quot;00F34B99&quot;/&gt;&lt;wsp:rsid wsp:val=&quot;00F507B4&quot;/&gt;&lt;wsp:rsid wsp:val=&quot;00F52DAB&quot;/&gt;&lt;wsp:rsid wsp:val=&quot;00F543F0&quot;/&gt;&lt;wsp:rsid wsp:val=&quot;00F55554&quot;/&gt;&lt;wsp:rsid wsp:val=&quot;00F57C26&quot;/&gt;&lt;wsp:rsid wsp:val=&quot;00F642C1&quot;/&gt;&lt;wsp:rsid wsp:val=&quot;00F7541D&quot;/&gt;&lt;wsp:rsid wsp:val=&quot;00F81D29&quot;/&gt;&lt;wsp:rsid wsp:val=&quot;00F91C4D&quot;/&gt;&lt;wsp:rsid wsp:val=&quot;00F92FD9&quot;/&gt;&lt;wsp:rsid wsp:val=&quot;00FA6684&quot;/&gt;&lt;wsp:rsid wsp:val=&quot;00FA731E&quot;/&gt;&lt;wsp:rsid wsp:val=&quot;00FB07D9&quot;/&gt;&lt;wsp:rsid wsp:val=&quot;00FB2B38&quot;/&gt;&lt;wsp:rsid wsp:val=&quot;00FC6358&quot;/&gt;&lt;wsp:rsid wsp:val=&quot;00FD320D&quot;/&gt;&lt;wsp:rsid wsp:val=&quot;00FE23DE&quot;/&gt;&lt;/wsp:rsids&gt;&lt;/w:docPr&gt;&lt;w:body&gt;&lt;wx:sect&gt;&lt;w:p wsp:rsidR=&quot;00000000&quot; wsp:rsidRDefault=&quot;00797CF1&quot; wsp:rsidP=&quot;00797CF1&quot;&gt;&lt;m:oMathPara&gt;&lt;m:oMath&gt;&lt;m:r&gt;&lt;m:rPr&gt;&lt;m:sty m:val=&quot;p&quot;/&gt;&lt;/m:rPr&gt;&lt;w:rPr&gt;&lt;w:rFonts w:ascii=&quot;Cambria Math&quot; w:h-ansi=&quot;Cambria Math&quot;/&gt;&lt;wx:font wx:val=&quot;Cambria Math&quot;/&gt;&lt;/w:rPr&gt;&lt;m:t&gt;蠅&lt;/m:t&gt;&lt;/m:r&gt;&lt;m:r&gt;&lt;m:rPr&gt;&lt;m:sty m:val=&quot;p&quot;/&gt;&lt;/m:rPr&gt;&lt;w:rPr&gt;&lt;w:rFonts w:ascii=&quot;C999999999ambria Math&quot; w:h-ansi=&quot;Cambria Math&quot; w:hint=&quot;fareast&quot;/&gt;&lt;wx:font wx:val=&quot;Cambria Math&quot;/&gt;&lt;/w:rPr&gt;&lt;m:t&gt;=&lt;/m:t&gt;&lt;/m:r&gt;&lt;m:sSub&gt;&lt;m:sSubPr&gt;&lt;m:ctrlPr&gt;&lt;w:rPr&gt;&lt;w:rFonts w:ascii=&quot;Cambria Math&quot; w:h-ansi=&quot;Cambria Math&quot;/&gt;&lt;wx:font wx:val=&quot;Cambria Math&quot;/&gt;&lt;/w:rPr&gt;&lt;/m:ctrlPr&gt;&lt;/m:sSubPr&gt;&lt;m:e&gt;&lt;m:r&gt;&lt;m:rPr&gt;&lt;m:sty m:val=&quot;p&quot;/&gt;&lt;/m:rPr&gt;&lt;w:rPr&gt;&lt;w:rFonts w:ascii=&quot;Cambria Math&quot; w:h-ansi=&quot;Cambria Math&quot;/&gt;&lt;wx:font wx:val=&quot;Cambria Math&quot;/&gt;&lt;/w:rPr&gt;&lt;m:t&gt;蠅&lt;/m:t&gt;&lt;/m:r&gt;&lt;/m:e&gt;&lt;m:sub&gt;&lt;m:r&gt;&lt;m:rPr&gt;&lt;m:sty m:val=&quot;p&quot;/&gt;&lt;/m:rPr&gt;&lt;w:rPr&gt;&lt;w:rFonts&lt; /wm::acstcriliP=&quot;Cambria Math&quot; w:h-ansi=&quot;Cambria Math&quot;/&gt;&lt;wx:font wx:val=&quot;Cambria Math&quot;/&gt;&lt;/w:rPr&gt;&lt;m:t&gt;1&lt;/m:t&gt;&lt;/m:r&gt;&lt;/m:sub&gt;&lt;/m:sSub&gt;&lt;m:r&gt;&lt;m:rPr&gt;&lt;m:sty m:val=&quot;p&quot;/&gt;&lt;/m:rPr&gt;&lt;w:rPr&gt;&lt;w:rFonts w:ascii=&quot;Cambria Math&quot; w:h-ansi=&quot;Cambria Math&quot;/&gt;&lt;wx:font wx:val=&quot;Cambria Math&quot;/&gt;&lt;/w:rPr&gt;&lt;m:t&gt;+&lt;/m:t&gt;&lt;/m:r&gt;&lt;m:sSub&gt;&lt;m:sSubPr&gt;&lt;m:ctrlPr&gt;&lt;w:rPr&gt;&lt;w:rFonts w:ascii=&quot;Cambria Math&quot; w:h-ansi=&quot;Cambria Math&quot;/&gt;&lt;wx:font wx:val=&quot;Cambria Math&quot;/&gt;&lt;/w:rPr&gt;&lt;/m:ctrlPr&gt;&lt;/m:sSubPr&gt;&lt;m:e&gt;&lt;m:r&gt;&lt;m:rPr&gt;&lt;m:sty m:val=&quot;p&quot;/&gt;&lt;/m:rPr&gt;&lt;w:rPr&gt;&lt;w:rFonts w:ascii=&quot;Cambria Math&quot; w:h-ansi=&quot;Cambria Math&quot;/&gt;&lt;wx:font wx:val=&quot;Cambria Math&quot;/&gt;&lt;/w:rPr&gt;&lt;m:t&gt;蠅&lt;/m:t&gt;&lt;/m:r&gt;&lt;/m:e&gt;&lt;m:sub&gt;&lt;m:r&gt;&lt;m:rPr&gt;&lt;m:sty m:val=&quot;p&quot;/&gt;&lt;/m:rPr&gt;&lt;w:rPr&gt;&lt;w:rFonts w:ascii=&quot;Cambria Math&quot; w:h-ansi=&quot;Cambria Math&quot;/&gt;&lt;wx:font wx:val=&quot;Cambria Math&quot;/&gt;&lt;/:w:srPir&gt;=&lt;mC:tm&gt;2r&lt;/am:Mt&gt;&lt;/m:r&gt;&lt;/m:sub&gt;&lt;/m:sSub&gt;&lt;m:r&gt;&lt;m:rPr&gt;&lt;m:sty m:val=&quot;p&quot;/&gt;&lt;/m:rPr&gt;&lt;w:rPr&gt;&lt;w:rFonts w:ascii=&quot;Cambria Math&quot; w:h-ansi=&quot;Cambria Math&quot;/&gt;&lt;wx:font wx:val=&quot;Cambria Math&quot;/&gt;&lt;/w:rPr&gt;&lt;m:t&gt;脳&lt;/m:t&gt;&lt;/m:r&gt;&lt;m:r&gt;&lt;m:rPr&gt;&lt;m:sty m:val=&quot;p&quot;/&gt;&lt;/m:rPr&gt;&lt;w:rPr:&gt;&lt;ws:rFiont=s wC:asmciir=&quot;CaambMria Math&quot; w:h-ansi=&quot;Cambria Math&quot; w:hint=&quot;fareast&quot;/&gt;&lt;wx:font wx:val=&quot;Cambria Math&quot;/&gt;&lt;/w:rPr&gt;&lt;m:t&gt;0.0622&lt;/m:t&gt;&lt;/m:r&gt;&lt;m:r&gt;&lt;m:rPr&gt;&lt;m:sty m:val=&quot;p&quot;/&gt;&lt;/m:rPr&gt;&lt;w:rPr&gt;&lt;w:rFonts w:ascii=&quot;Cambria Math&quot; w:h-ansi=&quot;Cambria Math&quot;/&gt;&lt;wx:font wx:val=&quot;Cambria Math&quot;/&gt;&lt;/w:rPr&gt;&lt;m:t&gt;+&lt;/m:t&gt;&lt;/m:r&gt;&lt;m:sSub&gt;&lt;m:sSubPr&gt;&lt;m:ctrlPr&gt;&lt;w:rPr&gt;&lt;w:rFonts w:ascii=&quot;Cambria Math&quot; w:h-ansi=&quot;Cambria Math&quot;/&gt;&lt;wx:font wx:val=&quot;Cambria Math&quot;/&gt;&lt;/w:rPr&gt;&lt;/m:ctrlPr&gt;&lt;/m:sSubPr&gt;&lt;m:e&gt;&lt;m:r&gt;&lt;m:rPr&gt;&lt;m:sty m:val=&quot;p&quot;/&gt;&lt;/m:rPr&gt;&lt;w:rPr&gt;&lt;w:rFonts w:ascii=&quot;Cambria Math&quot; w:h-ansi=&quot;Cambria Math&quot;/&gt;&lt;wx:font wx:val=&quot;Cambria Math&quot;/&gt;&lt;/w:rPr&gt;&lt;m:t&gt;蠅&lt;/m:t&gt;&lt;/m:r&gt;&lt;/m:e&gt;&lt;m:sub&gt;&lt;m:r&gt;&lt;m:rPr&gt;&lt;m:sty m:val=&quot;p&quot;/&gt;&lt;/m:rPr&gt;&lt;w:rPr&gt;&lt;w:rFonts w:ascii=&quot;Cambria Math&quot; w:h-ansi=&quot;Cambria Math&quot; w:hint=&quot;fareast&quot;/&gt;&lt;wrx:fo&lt;nt wFx:vasl=&quot;Caambriia Maath&quot;i/&gt;&lt;/aw:rPr&gt;&lt;m:t&gt;3&lt;/m:t&gt;&lt;/m:r&gt;&lt;/m:sub&gt;&lt;/m:sSub&gt;&lt;m:r&gt;&lt;m:rPr&gt;&lt;m:sty m:val=&quot;p&quot;/&gt;&lt;/m:rPr&gt;&lt;w:rPr&gt;&lt;w:rFonts w:ascii=&quot;Cambria Math&quot; w:h-ansi=&quot;Cambria Math&quot;/&gt;&lt;wx:font wx:val=&quot;Cambria Math&quot;/&gt;&lt;/w:rPr&gt;&lt;m:t&gt;脳&lt;/m:t&gt;&lt;/m:r&gt;&lt;m:r&gt;&lt;m:rPr&gt;r&lt;m:st&lt;y m:vFal=&quot;ps&quot;/&gt;&lt;/am:rPri&gt;&lt;w:raPr&gt;&lt;wi:rFonats w:ascii=&quot;Cambria Math&quot; w:h-ansi=&quot;Cambria Math&quot; w:hint=&quot;fareast&quot;/&gt;&lt;wx:font wx:val=&quot;Cambria Math&quot;/&gt;&lt;/w:rPr&gt;&lt;m:t&gt;0.3246&lt;/m:t&gt;&lt;/m:r&gt;&lt;m:r&gt;&lt;m:rPr&gt;&lt;m:sty m:val=&quot;p&quot;/&gt;&lt;/m:rPr&gt;&lt;w:rPr&gt;&lt;w:rFonts w:ascii=&quot;Cambria Math&quot; w:h-ansi=&quot;Cambria Math&quot;/&gt;&lt;wx:font wx:val=&quot;Cambria Math&quot;/&gt;&lt;/w:rPr&gt;&lt;m:t&gt;+&lt;/m:t&gt;&lt;/m:r&gt;&lt;m:sSub&gt;&lt;m:sSubPr&gt;&lt;m:ctrlPr&gt;&lt;w:rPr&gt;&lt;w:rFonts w:ascii=&quot;Cambria Math&quot; w:h-ansi=&quot;Cambria Math&quot;/&gt;&lt;wx:font wx:val=&quot;Cambria Math&quot;/&gt;&lt;/w:rPr&gt;&lt;/m:ctrlPr&gt;&lt;/m:sSubPr&gt;&lt;m:e&gt;&lt;m:r&gt;&lt;m:rPr&gt;&lt;m:sty m:val=&quot;p&quot;/&gt;&lt;/m:rPr&gt;&lt;w:rPr&gt;&lt;w:rFonts w:ascii=&quot;Cambria Math&quot; w:h-ansi=&quot;Cambria Math&quot;/&gt;&lt;wx:font wx:val=&quot;Cambria Math&quot;/&gt;&lt;/w:rPr&gt;&lt;m:t&gt;蠅&lt;/m:t&gt;&lt;/m:r&gt;&lt;/m:e&gt;&lt;m:sub&gt;&lt;m:r&gt;&lt;m:rPr&gt;&lt;m:sty m:val=&quot;p&quot;/&gt;&lt;/m:rPr&gt;&lt;w:rPr&gt;&lt;w:rFonts w:ascii=&quot;Cambria Math&quot; w:h-ansi=&quot;CaPmbria sMath&quot; vw:hint&quot;=&quot;fare:ast&quot;/&gt;w&lt;wx:fo&lt;nt wx:nval=&quot;Caambria Math&quot;/&gt;&lt;/w:rPr&gt;&lt;m:t&gt;4&lt;/m:t&gt;&lt;/m:r&gt;&lt;/m:sub&gt;&lt;/m:sSub&gt;&lt;m:r&gt;&lt;m:rPr&gt;&lt;m:sty m:val=&quot;p&quot;/&gt;&lt;/m:rPr&gt;&lt;w:rPr&gt;&lt;w:rFonts w:ascii=&quot;Cambria Math&quot; w:h-ansi=&quot;Cambria Math&quot;/&gt;&lt;wx:font wx:val=&quot;Cambria Math&quot;/&gt;&lt;/w:rPr&gt;&lt;m:t&gt;??/m:t&gt;v&lt;/m:r&gt;&lt;&quot;m:r&gt;&lt;m::rPr&gt;&lt;m:wsty m:v&lt;al=&quot;p&quot;/n&gt;&lt;/m:rPar&gt;&lt;w:rPr&gt;&lt;w:rFonts w:ascii=&quot;Cambria Math&quot; w:h-ansi=&quot;Cambria Math&quot; w:hint=&quot;fareast&quot;/&gt;&lt;wx:font wx:val=&quot;Cambria Math&quot;/&gt;&lt;/w:rPr&gt;&lt;m:t&gt;0.3784&lt;/m:t&gt;&lt;/m:r&gt;&lt;m:r&gt;&lt;m:rPr&gt;&lt;m:sty m:val=&quot;p&quot;/&gt;&lt;/m:rPr&gt;&lt;w:rPr&gt;&lt;w:rFon?ts w:ascii=&quot;Cambria Math&quot; w:h-ansi=&quot;Cambria Math&quot;/&gt;&lt;wx:font wx:val=&quot;Cambria Math&quot;/&gt;&lt;/w:rPr&gt;&lt;m:t&gt;+&lt;/m:t&gt;&lt;/m:r&gt;&lt;m:sSub&gt;&lt;m:sSubPr&gt;&lt;m:ctrlPr&gt;&lt;w:rPr&gt;&lt;w:rFonts w:ascii=&quot;Cambria Math&quot; w:h-ansi=&quot;Cambria Math&quot;/&gt;&lt;wx:font wx:val=&quot;Cambria Math&quot;/&gt;&lt;/w:rPr&gt;&lt;/m:ctrlPr&gt;&lt;/m:sSubPr&gt;&lt;m:e&gt;&lt;m:r&gt;&lt;m:rPr&gt;&lt;m:sty m:val=&quot;p&quot;/&gt;&lt;/m:rPr&gt;&lt;w:rPr&gt;&lt;w:rFonts w:ascii=&quot;Cambria Math&quot; w:h-ansi=&quot;Cambria Math&quot;/&gt;&lt;wx:font wx:val=&quot;Cambria Math&quot;/&gt;&lt;/w:rPr&gt;&lt;m:t&gt;蠅&lt;/m:t&gt;&lt;/m:r&gt;&lt;/m:e&gt;&lt;m:sub&gt;&lt;m:r&gt;&lt;m:rPr&gt;&lt;m:sty m:val=&quot;p&quot;/&gt;&lt;/m:rPr&gt;&lt;w:rPr&gt;&lt;w:rFonts w:astcii=&quot;Ca/mbria Marth&quot; w:h-mansi=&quot;CaPmbria Mayth&quot; w:hi&quot;nt=&quot;fare:ast&quot;/&gt;&lt;wrx:font wx:val=&quot;Cambria Math&quot;/&gt;&lt;/w:rPr&gt;&lt;m:t&gt;5&lt;/m:t&gt;&lt;/m:r&gt;&lt;/m:sub&gt;&lt;/m:sSub&gt;&lt;m:r&gt;&lt;m:rPr&gt;&lt;m:sty m:val=&quot;p&quot;/&gt;&lt;/m:rPr&gt;&lt;w:rPr&gt;&lt;w:rFonts w:ascii=&quot;Cambria Math&quot; w:h-ansi=&quot;Cambria Math&quot;/&gt;&lt;wx:font wx:val=&quot;Cambria Math&quot;/&gt;&lt;/w:rPr&gt;&lt;m:t&gt;脳&lt;/m:ty&gt;&lt;/m:r&gt;&lt;m&quot;:r&gt;&lt;m:rPr:&gt;&lt;m:sty mr:val=&quot;p&quot;/&gt;&lt;/m:rPr&gt;&lt;w:rPr&gt;&lt;w:rFonts w:ascii=&quot;Cambria Math&quot; w:h-ansi=&quot;Cambria Math&quot; w:hint=&quot;fareast&quot;/&gt;&lt;wx:font wx:val=&quot;Cambria Math&quot;/&gt;&lt;/w:rPr&gt;&lt;m:t&gt;0.1497&lt;/m:t&gt;&lt;/m:r&gt;&lt;/m:oMath&gt;&lt;/m:oMatthPara&gt;&lt;=/w:p&gt;&lt;w:s 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instrText xml:space="preserve"> </w:instrText>
      </w:r>
      <w:r>
        <w:fldChar w:fldCharType="separate"/>
      </w:r>
      <w:r>
        <w:fldChar w:fldCharType="end"/>
      </w:r>
      <w:r>
        <w:tab/>
      </w:r>
      <w:r>
        <w:t>(</w:t>
      </w:r>
      <w:r>
        <w:fldChar w:fldCharType="begin"/>
      </w:r>
      <w:r>
        <w:instrText xml:space="preserve"> SEQ 标准自动公式 \* ARABIC </w:instrText>
      </w:r>
      <w:r>
        <w:fldChar w:fldCharType="separate"/>
      </w:r>
      <w:r>
        <w:t>1</w:t>
      </w:r>
      <w:r>
        <w:fldChar w:fldCharType="end"/>
      </w:r>
      <w:r>
        <w:t>)</w:t>
      </w:r>
    </w:p>
    <w:bookmarkEnd w:id="23"/>
    <w:p>
      <w:pPr>
        <w:pStyle w:val="21"/>
      </w:pPr>
      <w:r>
        <w:rPr>
          <w:rFonts w:hint="eastAsia"/>
        </w:rPr>
        <w:t>式中：</w:t>
      </w:r>
    </w:p>
    <w:p>
      <w:pPr>
        <w:pStyle w:val="21"/>
      </w:pPr>
      <w:r>
        <w:rPr>
          <w:rFonts w:hint="eastAsia"/>
          <w:i/>
        </w:rPr>
        <w:t>ω</w:t>
      </w:r>
      <w:r>
        <w:rPr>
          <w:rFonts w:hint="eastAsia"/>
        </w:rPr>
        <w:t>——试样中水分含量的质量分数，单位为克每百克（g/100g）；</w:t>
      </w:r>
    </w:p>
    <w:p>
      <w:pPr>
        <w:pStyle w:val="21"/>
      </w:pPr>
      <w:r>
        <w:rPr>
          <w:rFonts w:hint="eastAsia"/>
          <w:i/>
        </w:rPr>
        <w:t>ω</w:t>
      </w:r>
      <w:r>
        <w:rPr>
          <w:rFonts w:hint="eastAsia"/>
          <w:vertAlign w:val="subscript"/>
        </w:rPr>
        <w:t>1</w:t>
      </w:r>
      <w:r>
        <w:rPr>
          <w:rFonts w:hint="eastAsia"/>
        </w:rPr>
        <w:t>——试样经140℃的干燥失重，单位为克每百克（g/100g）；</w:t>
      </w:r>
    </w:p>
    <w:p>
      <w:pPr>
        <w:pStyle w:val="21"/>
      </w:pPr>
      <w:r>
        <w:rPr>
          <w:rFonts w:hint="eastAsia"/>
          <w:i/>
        </w:rPr>
        <w:t>ω</w:t>
      </w:r>
      <w:r>
        <w:rPr>
          <w:rFonts w:hint="eastAsia"/>
          <w:vertAlign w:val="subscript"/>
        </w:rPr>
        <w:t>2</w:t>
      </w:r>
      <w:r>
        <w:rPr>
          <w:rFonts w:hint="eastAsia"/>
        </w:rPr>
        <w:t>——试样中硫酸钙的质量分数，单位为克每百克（g/100g）；</w:t>
      </w:r>
    </w:p>
    <w:p>
      <w:pPr>
        <w:pStyle w:val="21"/>
      </w:pPr>
      <w:r>
        <w:rPr>
          <w:rFonts w:hint="eastAsia"/>
          <w:i/>
        </w:rPr>
        <w:t>ω</w:t>
      </w:r>
      <w:r>
        <w:rPr>
          <w:rFonts w:hint="eastAsia"/>
          <w:vertAlign w:val="subscript"/>
        </w:rPr>
        <w:t>3</w:t>
      </w:r>
      <w:r>
        <w:rPr>
          <w:rFonts w:hint="eastAsia"/>
        </w:rPr>
        <w:t>——试样中硫酸镁的质量分数，单位为克每百克（g/100g）；</w:t>
      </w:r>
    </w:p>
    <w:p>
      <w:pPr>
        <w:pStyle w:val="21"/>
      </w:pPr>
      <w:r>
        <w:rPr>
          <w:rFonts w:hint="eastAsia"/>
          <w:i/>
        </w:rPr>
        <w:t>ω</w:t>
      </w:r>
      <w:r>
        <w:rPr>
          <w:rFonts w:hint="eastAsia"/>
          <w:vertAlign w:val="subscript"/>
        </w:rPr>
        <w:t>4</w:t>
      </w:r>
      <w:r>
        <w:rPr>
          <w:rFonts w:hint="eastAsia"/>
        </w:rPr>
        <w:t>——试样中氯化钙的质量分数，单位为克每百克（g/100g）；</w:t>
      </w:r>
    </w:p>
    <w:p>
      <w:pPr>
        <w:pStyle w:val="21"/>
      </w:pPr>
      <w:r>
        <w:rPr>
          <w:rFonts w:hint="eastAsia"/>
          <w:i/>
        </w:rPr>
        <w:t>ω</w:t>
      </w:r>
      <w:r>
        <w:rPr>
          <w:rFonts w:hint="eastAsia"/>
          <w:vertAlign w:val="subscript"/>
        </w:rPr>
        <w:t>5</w:t>
      </w:r>
      <w:r>
        <w:rPr>
          <w:rFonts w:hint="eastAsia"/>
        </w:rPr>
        <w:t>——试样中氯化镁的质量分数，单位为克每百克（g/100g）。</w:t>
      </w:r>
    </w:p>
    <w:p>
      <w:pPr>
        <w:pStyle w:val="38"/>
      </w:pPr>
      <w:r>
        <w:rPr>
          <w:rFonts w:hint="eastAsia"/>
        </w:rPr>
        <w:t>水不溶物</w:t>
      </w:r>
    </w:p>
    <w:p>
      <w:pPr>
        <w:pStyle w:val="134"/>
        <w:ind w:firstLine="420"/>
      </w:pPr>
      <w:r>
        <w:t>按GB/T</w:t>
      </w:r>
      <w:r>
        <w:rPr>
          <w:rFonts w:hint="eastAsia"/>
        </w:rPr>
        <w:t xml:space="preserve"> </w:t>
      </w:r>
      <w:r>
        <w:t>13025.4的</w:t>
      </w:r>
      <w:r>
        <w:rPr>
          <w:rFonts w:hint="eastAsia"/>
        </w:rPr>
        <w:t>方法测定。</w:t>
      </w:r>
    </w:p>
    <w:p>
      <w:pPr>
        <w:pStyle w:val="38"/>
        <w:ind w:left="426" w:hanging="420"/>
      </w:pPr>
      <w:bookmarkStart w:id="25" w:name="_Hlk184132775"/>
      <w:r>
        <w:rPr>
          <w:rFonts w:hint="eastAsia"/>
        </w:rPr>
        <w:t>铅</w:t>
      </w:r>
    </w:p>
    <w:p>
      <w:pPr>
        <w:pStyle w:val="134"/>
        <w:ind w:firstLine="420"/>
      </w:pPr>
      <w:r>
        <w:rPr>
          <w:rFonts w:hint="eastAsia"/>
        </w:rPr>
        <w:t>按GB</w:t>
      </w:r>
      <w:r>
        <w:t xml:space="preserve"> 5009.1</w:t>
      </w:r>
      <w:r>
        <w:rPr>
          <w:rFonts w:hint="eastAsia"/>
        </w:rPr>
        <w:t>2或</w:t>
      </w:r>
      <w:r>
        <w:t>GB</w:t>
      </w:r>
      <w:r>
        <w:rPr>
          <w:rFonts w:hint="eastAsia"/>
        </w:rPr>
        <w:t>/T 13025.9规定执行，第一法为仲裁法。</w:t>
      </w:r>
    </w:p>
    <w:p>
      <w:pPr>
        <w:pStyle w:val="38"/>
        <w:ind w:left="426" w:hanging="420"/>
      </w:pPr>
      <w:r>
        <w:rPr>
          <w:rFonts w:hint="eastAsia"/>
        </w:rPr>
        <w:t>总汞</w:t>
      </w:r>
    </w:p>
    <w:p>
      <w:pPr>
        <w:pStyle w:val="21"/>
      </w:pPr>
      <w:r>
        <w:rPr>
          <w:rFonts w:hint="eastAsia"/>
        </w:rPr>
        <w:t>按GB</w:t>
      </w:r>
      <w:r>
        <w:t xml:space="preserve"> 5009.17</w:t>
      </w:r>
      <w:r>
        <w:rPr>
          <w:rFonts w:hint="eastAsia"/>
        </w:rPr>
        <w:t>规定执行。</w:t>
      </w:r>
    </w:p>
    <w:p>
      <w:pPr>
        <w:pStyle w:val="38"/>
        <w:ind w:left="426" w:hanging="420"/>
      </w:pPr>
      <w:r>
        <w:rPr>
          <w:rFonts w:hint="eastAsia"/>
        </w:rPr>
        <w:t>镉</w:t>
      </w:r>
    </w:p>
    <w:p>
      <w:pPr>
        <w:pStyle w:val="134"/>
        <w:ind w:firstLine="420"/>
      </w:pPr>
      <w:r>
        <w:rPr>
          <w:rFonts w:hint="eastAsia"/>
        </w:rPr>
        <w:t>按GB</w:t>
      </w:r>
      <w:r>
        <w:t xml:space="preserve"> 5009.15</w:t>
      </w:r>
      <w:r>
        <w:rPr>
          <w:rFonts w:hint="eastAsia"/>
        </w:rPr>
        <w:t>规定执行。</w:t>
      </w:r>
    </w:p>
    <w:p>
      <w:pPr>
        <w:pStyle w:val="38"/>
        <w:ind w:left="426" w:hanging="420"/>
      </w:pPr>
      <w:r>
        <w:rPr>
          <w:rFonts w:hint="eastAsia"/>
        </w:rPr>
        <w:t>总砷</w:t>
      </w:r>
    </w:p>
    <w:p>
      <w:pPr>
        <w:pStyle w:val="21"/>
      </w:pPr>
      <w:r>
        <w:rPr>
          <w:rFonts w:hint="eastAsia"/>
        </w:rPr>
        <w:t>按GB</w:t>
      </w:r>
      <w:r>
        <w:t xml:space="preserve"> 5009.11</w:t>
      </w:r>
      <w:r>
        <w:rPr>
          <w:rFonts w:hint="eastAsia"/>
        </w:rPr>
        <w:t>或</w:t>
      </w:r>
      <w:r>
        <w:t>GB</w:t>
      </w:r>
      <w:r>
        <w:rPr>
          <w:rFonts w:hint="eastAsia"/>
        </w:rPr>
        <w:t>/T 13025.13规定执行，第一法为仲裁法。</w:t>
      </w:r>
    </w:p>
    <w:bookmarkEnd w:id="25"/>
    <w:p>
      <w:pPr>
        <w:pStyle w:val="38"/>
      </w:pPr>
      <w:r>
        <w:rPr>
          <w:rFonts w:hint="eastAsia"/>
        </w:rPr>
        <w:t>pH值</w:t>
      </w:r>
    </w:p>
    <w:p>
      <w:pPr>
        <w:pStyle w:val="134"/>
        <w:ind w:firstLine="420"/>
      </w:pPr>
      <w:r>
        <w:rPr>
          <w:rFonts w:hint="eastAsia"/>
        </w:rPr>
        <w:t>称取1.00g试样，置于200mL烧杯中，加入100mL无二氧化碳的水，搅拌使其全部溶解后，按GB/T 13531.1规定执行。</w:t>
      </w:r>
    </w:p>
    <w:p>
      <w:pPr>
        <w:pStyle w:val="41"/>
        <w:spacing w:line="360" w:lineRule="auto"/>
      </w:pPr>
      <w:r>
        <w:rPr>
          <w:rFonts w:hint="eastAsia"/>
        </w:rPr>
        <w:t>检验规则</w:t>
      </w:r>
    </w:p>
    <w:p>
      <w:pPr>
        <w:pStyle w:val="38"/>
      </w:pPr>
      <w:r>
        <w:rPr>
          <w:rFonts w:hint="eastAsia"/>
        </w:rPr>
        <w:t>组批</w:t>
      </w:r>
    </w:p>
    <w:p>
      <w:pPr>
        <w:pStyle w:val="21"/>
      </w:pPr>
      <w:r>
        <w:rPr>
          <w:rFonts w:hint="eastAsia"/>
        </w:rPr>
        <w:t>生产企业用相同材料、</w:t>
      </w:r>
      <w:r>
        <w:t>相同的加工方法</w:t>
      </w:r>
      <w:r>
        <w:rPr>
          <w:rFonts w:hint="eastAsia"/>
        </w:rPr>
        <w:t>，在相同的生产条件下连续</w:t>
      </w:r>
      <w:r>
        <w:t>生产的同一等级</w:t>
      </w:r>
      <w:r>
        <w:rPr>
          <w:rFonts w:hint="eastAsia"/>
        </w:rPr>
        <w:t>、</w:t>
      </w:r>
      <w:r>
        <w:t>一次交付或入库的产品构成为一批。</w:t>
      </w:r>
      <w:r>
        <w:rPr>
          <w:rFonts w:hint="eastAsia"/>
        </w:rPr>
        <w:t>每批产品不超过200吨。</w:t>
      </w:r>
    </w:p>
    <w:p>
      <w:pPr>
        <w:pStyle w:val="38"/>
      </w:pPr>
      <w:r>
        <w:rPr>
          <w:rFonts w:hint="eastAsia"/>
        </w:rPr>
        <w:t>采样</w:t>
      </w:r>
    </w:p>
    <w:p>
      <w:pPr>
        <w:pStyle w:val="21"/>
      </w:pPr>
      <w:r>
        <w:rPr>
          <w:rFonts w:hint="eastAsia"/>
        </w:rPr>
        <w:t>按GB/T 8618规定的份样数抽取，混匀，用四分法缩分至所需量。</w:t>
      </w:r>
    </w:p>
    <w:p>
      <w:pPr>
        <w:pStyle w:val="38"/>
      </w:pPr>
      <w:r>
        <w:rPr>
          <w:rFonts w:hint="eastAsia"/>
        </w:rPr>
        <w:t>出厂检验</w:t>
      </w:r>
    </w:p>
    <w:p>
      <w:pPr>
        <w:pStyle w:val="21"/>
      </w:pPr>
      <w:r>
        <w:rPr>
          <w:rFonts w:hint="eastAsia"/>
        </w:rPr>
        <w:t>每批产品应由生产企业质检部门检验，检验项目包括感官要求、氯化钠、水分、水不溶物、pH值。检验项目全部合格并附合格证明后方可出厂。</w:t>
      </w:r>
    </w:p>
    <w:p>
      <w:pPr>
        <w:pStyle w:val="38"/>
      </w:pPr>
      <w:r>
        <w:rPr>
          <w:rFonts w:hint="eastAsia"/>
        </w:rPr>
        <w:t>型式检验</w:t>
      </w:r>
    </w:p>
    <w:p>
      <w:pPr>
        <w:pStyle w:val="134"/>
        <w:ind w:firstLine="420"/>
      </w:pPr>
      <w:r>
        <w:rPr>
          <w:rFonts w:hint="eastAsia"/>
        </w:rPr>
        <w:t>产品型式检验包括本文本5.2、5.3规定的全部项目。正常生产时，每一年应不少于一次，有下列情形之一时也应进行型式检验。</w:t>
      </w:r>
    </w:p>
    <w:p>
      <w:pPr>
        <w:pStyle w:val="21"/>
      </w:pPr>
      <w:r>
        <w:rPr>
          <w:rFonts w:hint="eastAsia"/>
        </w:rPr>
        <w:t>——原料、生产工艺、生产设备、生产环境发生较大变化可能影响产品质量时；</w:t>
      </w:r>
    </w:p>
    <w:p>
      <w:pPr>
        <w:pStyle w:val="21"/>
      </w:pPr>
      <w:r>
        <w:rPr>
          <w:rFonts w:hint="eastAsia"/>
        </w:rPr>
        <w:t>——</w:t>
      </w:r>
      <w:r>
        <w:rPr>
          <w:rFonts w:hint="eastAsia" w:hAnsi="宋体"/>
        </w:rPr>
        <w:t>产品首次投产或</w:t>
      </w:r>
      <w:r>
        <w:rPr>
          <w:rFonts w:hint="eastAsia"/>
        </w:rPr>
        <w:t>停产半年及以上，再恢复生产时；</w:t>
      </w:r>
    </w:p>
    <w:p>
      <w:pPr>
        <w:pStyle w:val="21"/>
      </w:pPr>
      <w:r>
        <w:rPr>
          <w:rFonts w:hint="eastAsia"/>
        </w:rPr>
        <w:t>——出厂检验结果与上次型式检验有较大差异时；</w:t>
      </w:r>
    </w:p>
    <w:p>
      <w:pPr>
        <w:pStyle w:val="21"/>
      </w:pPr>
      <w:r>
        <w:rPr>
          <w:rFonts w:hint="eastAsia"/>
        </w:rPr>
        <w:t>—</w:t>
      </w:r>
      <w:r>
        <w:rPr>
          <w:rFonts w:hint="eastAsia"/>
          <w:color w:val="000000"/>
        </w:rPr>
        <w:t>—国家市场监督管理部门提出要求时。</w:t>
      </w:r>
    </w:p>
    <w:p>
      <w:pPr>
        <w:pStyle w:val="38"/>
      </w:pPr>
      <w:r>
        <w:rPr>
          <w:rFonts w:hint="eastAsia"/>
        </w:rPr>
        <w:t>判定规则</w:t>
      </w:r>
    </w:p>
    <w:p>
      <w:pPr>
        <w:pStyle w:val="134"/>
        <w:ind w:firstLine="420"/>
      </w:pPr>
      <w:r>
        <w:rPr>
          <w:rFonts w:hint="eastAsia"/>
        </w:rPr>
        <w:t>检验项目中</w:t>
      </w:r>
      <w:r>
        <w:t>如有一项或一项以上指标不符合本标准规定，应</w:t>
      </w:r>
      <w:r>
        <w:rPr>
          <w:rFonts w:hint="eastAsia"/>
        </w:rPr>
        <w:t>使用备用样</w:t>
      </w:r>
      <w:r>
        <w:t>对不符合项进行复检，以复检结果为准。检验结果全部符合本标准的规定时则判该批产品合格，</w:t>
      </w:r>
      <w:r>
        <w:rPr>
          <w:rFonts w:hint="eastAsia"/>
        </w:rPr>
        <w:t>否则为不合格。</w:t>
      </w:r>
    </w:p>
    <w:p>
      <w:pPr>
        <w:pStyle w:val="134"/>
        <w:ind w:firstLine="420"/>
      </w:pPr>
      <w:r>
        <w:t>供需双方对产品质量发生争议时应协商解决；或者由法定质量监督管理机构进行仲裁。</w:t>
      </w:r>
    </w:p>
    <w:p>
      <w:pPr>
        <w:pStyle w:val="41"/>
      </w:pPr>
      <w:r>
        <w:rPr>
          <w:rFonts w:hint="eastAsia"/>
        </w:rPr>
        <w:t>标签、标志</w:t>
      </w:r>
    </w:p>
    <w:p>
      <w:pPr>
        <w:pStyle w:val="134"/>
        <w:ind w:firstLine="420"/>
      </w:pPr>
      <w:r>
        <w:rPr>
          <w:rFonts w:hint="eastAsia"/>
        </w:rPr>
        <w:t>外包装上应按GB/T 191规定标注“怕雨”标志，产品容器上标签明显并且印制或粘贴牢固，标明：生产厂家名称和地址、商标、产品名称、产品批号、本标准号、生产日期、净含量等。</w:t>
      </w:r>
    </w:p>
    <w:p>
      <w:pPr>
        <w:pStyle w:val="41"/>
      </w:pPr>
      <w:r>
        <w:rPr>
          <w:rFonts w:hint="eastAsia"/>
        </w:rPr>
        <w:t>包装、运输、贮存</w:t>
      </w:r>
    </w:p>
    <w:p>
      <w:pPr>
        <w:pStyle w:val="38"/>
      </w:pPr>
      <w:r>
        <w:rPr>
          <w:rFonts w:hint="eastAsia"/>
        </w:rPr>
        <w:t>包装</w:t>
      </w:r>
    </w:p>
    <w:p>
      <w:pPr>
        <w:pStyle w:val="134"/>
        <w:ind w:firstLine="420"/>
      </w:pPr>
      <w:r>
        <w:rPr>
          <w:rFonts w:hint="eastAsia"/>
        </w:rPr>
        <w:t>产品包装宜采用双层包装，内包装采用聚乙烯塑料薄膜袋，外包装采用纸塑、塑塑复合袋或者镀膜编织袋。包装内袋用一次性捆扎带扎口，外袋采用缝包机缝合，缝包牢固，无漏缝或跳线现象。包装物无气味。也可根据用户要求商定包装形式。</w:t>
      </w:r>
    </w:p>
    <w:p>
      <w:pPr>
        <w:pStyle w:val="38"/>
      </w:pPr>
      <w:r>
        <w:rPr>
          <w:rFonts w:hint="eastAsia"/>
        </w:rPr>
        <w:t>运输</w:t>
      </w:r>
    </w:p>
    <w:p>
      <w:pPr>
        <w:pStyle w:val="134"/>
        <w:ind w:firstLine="420"/>
      </w:pPr>
      <w:r>
        <w:rPr>
          <w:rFonts w:hint="eastAsia"/>
        </w:rPr>
        <w:t>本产品属于非危险品。运输工具应清洁、干燥，并有防污染措施，运输途中防暴晒、防雨淋、防受潮，不应与有毒有害物品或者能导致盐质污染的货物混装。</w:t>
      </w:r>
    </w:p>
    <w:p>
      <w:pPr>
        <w:pStyle w:val="38"/>
      </w:pPr>
      <w:r>
        <w:rPr>
          <w:rFonts w:hint="eastAsia"/>
        </w:rPr>
        <w:t xml:space="preserve">贮存 </w:t>
      </w:r>
    </w:p>
    <w:p>
      <w:pPr>
        <w:pStyle w:val="134"/>
        <w:ind w:firstLine="420"/>
      </w:pPr>
      <w:r>
        <w:t>产品应</w:t>
      </w:r>
      <w:r>
        <w:rPr>
          <w:rFonts w:hint="eastAsia"/>
        </w:rPr>
        <w:t>存放在清洁、</w:t>
      </w:r>
      <w:r>
        <w:t>干燥</w:t>
      </w:r>
      <w:r>
        <w:rPr>
          <w:rFonts w:hint="eastAsia"/>
        </w:rPr>
        <w:t>、</w:t>
      </w:r>
      <w:r>
        <w:t>通风</w:t>
      </w:r>
      <w:r>
        <w:rPr>
          <w:rFonts w:hint="eastAsia"/>
        </w:rPr>
        <w:t>的仓库内</w:t>
      </w:r>
      <w:r>
        <w:t>，</w:t>
      </w:r>
      <w:r>
        <w:rPr>
          <w:rFonts w:hint="eastAsia"/>
        </w:rPr>
        <w:t>防止雨淋、受潮，不应与能导致产品污染的物品混存。产品存放应隔墙离地。</w:t>
      </w:r>
    </w:p>
    <w:p>
      <w:pPr>
        <w:pStyle w:val="125"/>
        <w:framePr w:wrap="around"/>
      </w:pPr>
      <w:r>
        <w:t>_________________________________</w:t>
      </w:r>
    </w:p>
    <w:sectPr>
      <w:headerReference r:id="rId3" w:type="default"/>
      <w:footerReference r:id="rId4" w:type="default"/>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fldChar w:fldCharType="begin"/>
    </w:r>
    <w:r>
      <w:instrText xml:space="preserve"> PAGE  \* MERGEFORMAT </w:instrText>
    </w:r>
    <w:r>
      <w:fldChar w:fldCharType="separate"/>
    </w:r>
    <w: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Pr>
    <w:r>
      <w:t>QB/T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F05214"/>
    <w:multiLevelType w:val="multilevel"/>
    <w:tmpl w:val="02F05214"/>
    <w:lvl w:ilvl="0" w:tentative="0">
      <w:start w:val="1"/>
      <w:numFmt w:val="upperLetter"/>
      <w:suff w:val="nothing"/>
      <w:lvlText w:val="附　录　%1"/>
      <w:lvlJc w:val="left"/>
      <w:pPr>
        <w:ind w:left="0" w:firstLine="0"/>
      </w:pPr>
      <w:rPr>
        <w:rFonts w:hint="eastAsia" w:ascii="黑体" w:eastAsia="黑体"/>
        <w:b w:val="0"/>
        <w:i w:val="0"/>
        <w:sz w:val="21"/>
      </w:rPr>
    </w:lvl>
    <w:lvl w:ilvl="1" w:tentative="0">
      <w:start w:val="1"/>
      <w:numFmt w:val="decimal"/>
      <w:pStyle w:val="139"/>
      <w:suff w:val="nothing"/>
      <w:lvlText w:val="%1.%2  "/>
      <w:lvlJc w:val="left"/>
      <w:pPr>
        <w:ind w:left="198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abstractNum w:abstractNumId="1">
    <w:nsid w:val="079102AD"/>
    <w:multiLevelType w:val="multilevel"/>
    <w:tmpl w:val="079102AD"/>
    <w:lvl w:ilvl="0" w:tentative="0">
      <w:start w:val="1"/>
      <w:numFmt w:val="decimal"/>
      <w:pStyle w:val="5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112"/>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4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1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61"/>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4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42"/>
      <w:suff w:val="nothing"/>
      <w:lvlText w:val="%1.%2.%3　"/>
      <w:lvlJc w:val="left"/>
      <w:pPr>
        <w:ind w:left="0" w:firstLine="0"/>
      </w:pPr>
      <w:rPr>
        <w:rFonts w:hint="eastAsia" w:ascii="黑体" w:hAnsi="Times New Roman" w:eastAsia="黑体"/>
        <w:b w:val="0"/>
        <w:i w:val="0"/>
        <w:sz w:val="21"/>
      </w:rPr>
    </w:lvl>
    <w:lvl w:ilvl="3" w:tentative="0">
      <w:start w:val="1"/>
      <w:numFmt w:val="decimal"/>
      <w:pStyle w:val="47"/>
      <w:suff w:val="nothing"/>
      <w:lvlText w:val="%1.%2.%3.%4　"/>
      <w:lvlJc w:val="left"/>
      <w:pPr>
        <w:ind w:left="0" w:firstLine="0"/>
      </w:pPr>
      <w:rPr>
        <w:rFonts w:hint="eastAsia" w:ascii="黑体" w:hAnsi="Times New Roman" w:eastAsia="黑体"/>
        <w:b w:val="0"/>
        <w:i w:val="0"/>
        <w:sz w:val="21"/>
      </w:rPr>
    </w:lvl>
    <w:lvl w:ilvl="4" w:tentative="0">
      <w:start w:val="1"/>
      <w:numFmt w:val="decimal"/>
      <w:pStyle w:val="51"/>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tentative="0">
      <w:start w:val="1"/>
      <w:numFmt w:val="upperLetter"/>
      <w:pStyle w:val="94"/>
      <w:suff w:val="space"/>
      <w:lvlText w:val="%1"/>
      <w:lvlJc w:val="left"/>
      <w:pPr>
        <w:ind w:left="623" w:hanging="425"/>
      </w:pPr>
      <w:rPr>
        <w:rFonts w:hint="eastAsia"/>
      </w:rPr>
    </w:lvl>
    <w:lvl w:ilvl="1" w:tentative="0">
      <w:start w:val="1"/>
      <w:numFmt w:val="decimal"/>
      <w:pStyle w:val="9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44"/>
      <w:suff w:val="nothing"/>
      <w:lvlText w:val="%1——"/>
      <w:lvlJc w:val="left"/>
      <w:pPr>
        <w:ind w:left="833" w:hanging="408"/>
      </w:pPr>
      <w:rPr>
        <w:rFonts w:hint="eastAsia"/>
      </w:rPr>
    </w:lvl>
    <w:lvl w:ilvl="1" w:tentative="0">
      <w:start w:val="1"/>
      <w:numFmt w:val="bullet"/>
      <w:pStyle w:val="45"/>
      <w:lvlText w:val=""/>
      <w:lvlJc w:val="left"/>
      <w:pPr>
        <w:tabs>
          <w:tab w:val="left" w:pos="760"/>
        </w:tabs>
        <w:ind w:left="1264" w:hanging="413"/>
      </w:pPr>
      <w:rPr>
        <w:rFonts w:hint="default" w:ascii="Symbol" w:hAnsi="Symbol"/>
        <w:color w:val="auto"/>
      </w:rPr>
    </w:lvl>
    <w:lvl w:ilvl="2" w:tentative="0">
      <w:start w:val="1"/>
      <w:numFmt w:val="bullet"/>
      <w:pStyle w:val="5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tentative="0">
      <w:start w:val="1"/>
      <w:numFmt w:val="decimal"/>
      <w:pStyle w:val="2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0"/>
      <w:lvlText w:val="%2)"/>
      <w:lvlJc w:val="left"/>
      <w:pPr>
        <w:tabs>
          <w:tab w:val="left" w:pos="1260"/>
        </w:tabs>
        <w:ind w:left="1259" w:hanging="419"/>
      </w:pPr>
      <w:rPr>
        <w:rFonts w:hint="eastAsia"/>
      </w:rPr>
    </w:lvl>
    <w:lvl w:ilvl="2" w:tentative="0">
      <w:start w:val="1"/>
      <w:numFmt w:val="decimal"/>
      <w:pStyle w:val="5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4B733A5F"/>
    <w:multiLevelType w:val="multilevel"/>
    <w:tmpl w:val="4B733A5F"/>
    <w:lvl w:ilvl="0" w:tentative="0">
      <w:start w:val="1"/>
      <w:numFmt w:val="decimal"/>
      <w:pStyle w:val="5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24"/>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82"/>
      <w:lvlText w:val="%1"/>
      <w:lvlJc w:val="left"/>
      <w:pPr>
        <w:tabs>
          <w:tab w:val="left" w:pos="0"/>
        </w:tabs>
        <w:ind w:left="0" w:hanging="425"/>
      </w:pPr>
      <w:rPr>
        <w:rFonts w:hint="eastAsia"/>
      </w:rPr>
    </w:lvl>
    <w:lvl w:ilvl="1" w:tentative="0">
      <w:start w:val="1"/>
      <w:numFmt w:val="decimal"/>
      <w:pStyle w:val="8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2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8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9"/>
      <w:suff w:val="nothing"/>
      <w:lvlText w:val="%1.%2.%3　"/>
      <w:lvlJc w:val="left"/>
      <w:pPr>
        <w:ind w:left="0" w:firstLine="0"/>
      </w:pPr>
      <w:rPr>
        <w:rFonts w:hint="eastAsia" w:ascii="黑体" w:hAnsi="Times New Roman" w:eastAsia="黑体"/>
        <w:b w:val="0"/>
        <w:i w:val="0"/>
        <w:sz w:val="21"/>
      </w:rPr>
    </w:lvl>
    <w:lvl w:ilvl="3" w:tentative="0">
      <w:start w:val="1"/>
      <w:numFmt w:val="decimal"/>
      <w:pStyle w:val="84"/>
      <w:suff w:val="nothing"/>
      <w:lvlText w:val="%1.%2.%3.%4　"/>
      <w:lvlJc w:val="left"/>
      <w:pPr>
        <w:ind w:left="0" w:firstLine="0"/>
      </w:pPr>
      <w:rPr>
        <w:rFonts w:hint="eastAsia" w:ascii="黑体" w:hAnsi="Times New Roman" w:eastAsia="黑体"/>
        <w:b w:val="0"/>
        <w:i w:val="0"/>
        <w:sz w:val="21"/>
      </w:rPr>
    </w:lvl>
    <w:lvl w:ilvl="4" w:tentative="0">
      <w:start w:val="1"/>
      <w:numFmt w:val="decimal"/>
      <w:pStyle w:val="89"/>
      <w:suff w:val="nothing"/>
      <w:lvlText w:val="%1.%2.%3.%4.%5　"/>
      <w:lvlJc w:val="left"/>
      <w:pPr>
        <w:ind w:left="0" w:firstLine="0"/>
      </w:pPr>
      <w:rPr>
        <w:rFonts w:hint="eastAsia" w:ascii="黑体" w:hAnsi="Times New Roman" w:eastAsia="黑体"/>
        <w:b w:val="0"/>
        <w:i w:val="0"/>
        <w:sz w:val="21"/>
      </w:rPr>
    </w:lvl>
    <w:lvl w:ilvl="5" w:tentative="0">
      <w:start w:val="1"/>
      <w:numFmt w:val="decimal"/>
      <w:pStyle w:val="92"/>
      <w:suff w:val="nothing"/>
      <w:lvlText w:val="%1.%2.%3.%4.%5.%6　"/>
      <w:lvlJc w:val="left"/>
      <w:pPr>
        <w:ind w:left="0" w:firstLine="0"/>
      </w:pPr>
      <w:rPr>
        <w:rFonts w:hint="eastAsia" w:ascii="黑体" w:hAnsi="Times New Roman" w:eastAsia="黑体"/>
        <w:b w:val="0"/>
        <w:i w:val="0"/>
        <w:sz w:val="21"/>
      </w:rPr>
    </w:lvl>
    <w:lvl w:ilvl="6" w:tentative="0">
      <w:start w:val="1"/>
      <w:numFmt w:val="decimal"/>
      <w:pStyle w:val="9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1"/>
      <w:lvlText w:val="%1)"/>
      <w:lvlJc w:val="left"/>
      <w:pPr>
        <w:tabs>
          <w:tab w:val="left" w:pos="839"/>
        </w:tabs>
        <w:ind w:left="839" w:hanging="419"/>
      </w:pPr>
      <w:rPr>
        <w:rFonts w:hint="eastAsia" w:ascii="宋体" w:eastAsia="宋体"/>
        <w:b w:val="0"/>
        <w:i w:val="0"/>
        <w:sz w:val="21"/>
      </w:rPr>
    </w:lvl>
    <w:lvl w:ilvl="1" w:tentative="0">
      <w:start w:val="1"/>
      <w:numFmt w:val="decimal"/>
      <w:pStyle w:val="9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5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6"/>
  </w:num>
  <w:num w:numId="3">
    <w:abstractNumId w:val="8"/>
  </w:num>
  <w:num w:numId="4">
    <w:abstractNumId w:val="3"/>
  </w:num>
  <w:num w:numId="5">
    <w:abstractNumId w:val="10"/>
  </w:num>
  <w:num w:numId="6">
    <w:abstractNumId w:val="17"/>
  </w:num>
  <w:num w:numId="7">
    <w:abstractNumId w:val="1"/>
  </w:num>
  <w:num w:numId="8">
    <w:abstractNumId w:val="11"/>
  </w:num>
  <w:num w:numId="9">
    <w:abstractNumId w:val="5"/>
  </w:num>
  <w:num w:numId="10">
    <w:abstractNumId w:val="15"/>
  </w:num>
  <w:num w:numId="11">
    <w:abstractNumId w:val="13"/>
  </w:num>
  <w:num w:numId="12">
    <w:abstractNumId w:val="16"/>
  </w:num>
  <w:num w:numId="13">
    <w:abstractNumId w:val="7"/>
  </w:num>
  <w:num w:numId="14">
    <w:abstractNumId w:val="2"/>
  </w:num>
  <w:num w:numId="15">
    <w:abstractNumId w:val="4"/>
  </w:num>
  <w:num w:numId="16">
    <w:abstractNumId w:val="14"/>
  </w:num>
  <w:num w:numId="17">
    <w:abstractNumId w:val="12"/>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925"/>
    <w:rsid w:val="00000244"/>
    <w:rsid w:val="0000185F"/>
    <w:rsid w:val="0000586F"/>
    <w:rsid w:val="000076A3"/>
    <w:rsid w:val="00013D86"/>
    <w:rsid w:val="00013E02"/>
    <w:rsid w:val="0002143C"/>
    <w:rsid w:val="00025A65"/>
    <w:rsid w:val="00026C31"/>
    <w:rsid w:val="00027280"/>
    <w:rsid w:val="000320A7"/>
    <w:rsid w:val="00035925"/>
    <w:rsid w:val="00067CDF"/>
    <w:rsid w:val="00074FBE"/>
    <w:rsid w:val="00083A09"/>
    <w:rsid w:val="0009005E"/>
    <w:rsid w:val="00092857"/>
    <w:rsid w:val="000A20A9"/>
    <w:rsid w:val="000A48B1"/>
    <w:rsid w:val="000B3143"/>
    <w:rsid w:val="000C6B05"/>
    <w:rsid w:val="000C6DD6"/>
    <w:rsid w:val="000C73D4"/>
    <w:rsid w:val="000D3D4C"/>
    <w:rsid w:val="000D4F51"/>
    <w:rsid w:val="000D718B"/>
    <w:rsid w:val="000E0C46"/>
    <w:rsid w:val="000F030C"/>
    <w:rsid w:val="000F129C"/>
    <w:rsid w:val="001047BB"/>
    <w:rsid w:val="001056DE"/>
    <w:rsid w:val="001124C0"/>
    <w:rsid w:val="001221DF"/>
    <w:rsid w:val="0012785E"/>
    <w:rsid w:val="0013175F"/>
    <w:rsid w:val="001512B4"/>
    <w:rsid w:val="001620A5"/>
    <w:rsid w:val="00164E53"/>
    <w:rsid w:val="0016699D"/>
    <w:rsid w:val="00175159"/>
    <w:rsid w:val="00176208"/>
    <w:rsid w:val="0018211B"/>
    <w:rsid w:val="001840D3"/>
    <w:rsid w:val="001900F8"/>
    <w:rsid w:val="00191258"/>
    <w:rsid w:val="00192680"/>
    <w:rsid w:val="00193037"/>
    <w:rsid w:val="00193A2C"/>
    <w:rsid w:val="001A288E"/>
    <w:rsid w:val="001B6DC2"/>
    <w:rsid w:val="001C149C"/>
    <w:rsid w:val="001C21AC"/>
    <w:rsid w:val="001C47BA"/>
    <w:rsid w:val="001C59EA"/>
    <w:rsid w:val="001D406C"/>
    <w:rsid w:val="001D41EE"/>
    <w:rsid w:val="001E0380"/>
    <w:rsid w:val="001E13B1"/>
    <w:rsid w:val="001E5C3E"/>
    <w:rsid w:val="001E681D"/>
    <w:rsid w:val="001F3A19"/>
    <w:rsid w:val="001F4A35"/>
    <w:rsid w:val="002140CD"/>
    <w:rsid w:val="00234467"/>
    <w:rsid w:val="00237D8D"/>
    <w:rsid w:val="00241DA2"/>
    <w:rsid w:val="00244435"/>
    <w:rsid w:val="00247FEE"/>
    <w:rsid w:val="00250E7D"/>
    <w:rsid w:val="002565D5"/>
    <w:rsid w:val="002622C0"/>
    <w:rsid w:val="002778AE"/>
    <w:rsid w:val="0028269A"/>
    <w:rsid w:val="00283590"/>
    <w:rsid w:val="00286973"/>
    <w:rsid w:val="00294E70"/>
    <w:rsid w:val="002A1924"/>
    <w:rsid w:val="002A7420"/>
    <w:rsid w:val="002B0F12"/>
    <w:rsid w:val="002B1308"/>
    <w:rsid w:val="002B1A29"/>
    <w:rsid w:val="002B4554"/>
    <w:rsid w:val="002C72D8"/>
    <w:rsid w:val="002D11FA"/>
    <w:rsid w:val="002E0DDF"/>
    <w:rsid w:val="002E1FB1"/>
    <w:rsid w:val="002E2906"/>
    <w:rsid w:val="002E5635"/>
    <w:rsid w:val="002E64C3"/>
    <w:rsid w:val="002E6A2C"/>
    <w:rsid w:val="002F1D8C"/>
    <w:rsid w:val="002F21DA"/>
    <w:rsid w:val="002F74B2"/>
    <w:rsid w:val="00301F39"/>
    <w:rsid w:val="00305F1A"/>
    <w:rsid w:val="00325926"/>
    <w:rsid w:val="00327A8A"/>
    <w:rsid w:val="00333436"/>
    <w:rsid w:val="00336610"/>
    <w:rsid w:val="00343F73"/>
    <w:rsid w:val="00345060"/>
    <w:rsid w:val="0035323B"/>
    <w:rsid w:val="003609D2"/>
    <w:rsid w:val="00363F22"/>
    <w:rsid w:val="00375564"/>
    <w:rsid w:val="00383191"/>
    <w:rsid w:val="00386DED"/>
    <w:rsid w:val="003912E7"/>
    <w:rsid w:val="00393947"/>
    <w:rsid w:val="003969B3"/>
    <w:rsid w:val="003A2275"/>
    <w:rsid w:val="003A6A4F"/>
    <w:rsid w:val="003A7088"/>
    <w:rsid w:val="003B00DF"/>
    <w:rsid w:val="003B1275"/>
    <w:rsid w:val="003B1778"/>
    <w:rsid w:val="003C11CB"/>
    <w:rsid w:val="003C18B7"/>
    <w:rsid w:val="003C75F3"/>
    <w:rsid w:val="003C78A3"/>
    <w:rsid w:val="003E1867"/>
    <w:rsid w:val="003E5729"/>
    <w:rsid w:val="003F4EE0"/>
    <w:rsid w:val="00402153"/>
    <w:rsid w:val="00402FC1"/>
    <w:rsid w:val="0041783D"/>
    <w:rsid w:val="00425082"/>
    <w:rsid w:val="00431DEB"/>
    <w:rsid w:val="00446B29"/>
    <w:rsid w:val="00453F9A"/>
    <w:rsid w:val="00471E91"/>
    <w:rsid w:val="00474675"/>
    <w:rsid w:val="0047470C"/>
    <w:rsid w:val="00497D2C"/>
    <w:rsid w:val="004A35F9"/>
    <w:rsid w:val="004B24C1"/>
    <w:rsid w:val="004B36E8"/>
    <w:rsid w:val="004C292F"/>
    <w:rsid w:val="004F0284"/>
    <w:rsid w:val="004F208F"/>
    <w:rsid w:val="00510280"/>
    <w:rsid w:val="00513D73"/>
    <w:rsid w:val="00514A43"/>
    <w:rsid w:val="005174E5"/>
    <w:rsid w:val="00521CE8"/>
    <w:rsid w:val="00522393"/>
    <w:rsid w:val="00522620"/>
    <w:rsid w:val="00525656"/>
    <w:rsid w:val="00531B88"/>
    <w:rsid w:val="00534C02"/>
    <w:rsid w:val="005359E7"/>
    <w:rsid w:val="00540A92"/>
    <w:rsid w:val="0054264B"/>
    <w:rsid w:val="00543786"/>
    <w:rsid w:val="005533D7"/>
    <w:rsid w:val="005703DE"/>
    <w:rsid w:val="0058464E"/>
    <w:rsid w:val="005854F3"/>
    <w:rsid w:val="005A01CB"/>
    <w:rsid w:val="005A3249"/>
    <w:rsid w:val="005A58FF"/>
    <w:rsid w:val="005A5EAF"/>
    <w:rsid w:val="005A64C0"/>
    <w:rsid w:val="005B3C11"/>
    <w:rsid w:val="005C1C28"/>
    <w:rsid w:val="005C6DB5"/>
    <w:rsid w:val="005E19E7"/>
    <w:rsid w:val="0061716C"/>
    <w:rsid w:val="006243A1"/>
    <w:rsid w:val="00632E56"/>
    <w:rsid w:val="00635CBA"/>
    <w:rsid w:val="0064338B"/>
    <w:rsid w:val="00646542"/>
    <w:rsid w:val="006504F4"/>
    <w:rsid w:val="00654BC9"/>
    <w:rsid w:val="006552FD"/>
    <w:rsid w:val="00663AF3"/>
    <w:rsid w:val="00666B6C"/>
    <w:rsid w:val="00682682"/>
    <w:rsid w:val="00682702"/>
    <w:rsid w:val="00692368"/>
    <w:rsid w:val="006A2EBC"/>
    <w:rsid w:val="006A5EA0"/>
    <w:rsid w:val="006A783B"/>
    <w:rsid w:val="006A7B33"/>
    <w:rsid w:val="006B4E13"/>
    <w:rsid w:val="006B75DD"/>
    <w:rsid w:val="006C67E0"/>
    <w:rsid w:val="006C7ABA"/>
    <w:rsid w:val="006D0D60"/>
    <w:rsid w:val="006D1122"/>
    <w:rsid w:val="006D3C00"/>
    <w:rsid w:val="006E3675"/>
    <w:rsid w:val="006E4A7F"/>
    <w:rsid w:val="00704DF6"/>
    <w:rsid w:val="00705C97"/>
    <w:rsid w:val="0070651C"/>
    <w:rsid w:val="007132A3"/>
    <w:rsid w:val="00716421"/>
    <w:rsid w:val="00724EFB"/>
    <w:rsid w:val="007419C3"/>
    <w:rsid w:val="007467A7"/>
    <w:rsid w:val="007469DD"/>
    <w:rsid w:val="0074741B"/>
    <w:rsid w:val="0074759E"/>
    <w:rsid w:val="007478EA"/>
    <w:rsid w:val="0075415C"/>
    <w:rsid w:val="007575DC"/>
    <w:rsid w:val="00763502"/>
    <w:rsid w:val="00764DAE"/>
    <w:rsid w:val="007913AB"/>
    <w:rsid w:val="007914F7"/>
    <w:rsid w:val="007B1625"/>
    <w:rsid w:val="007B706E"/>
    <w:rsid w:val="007B71EB"/>
    <w:rsid w:val="007C6205"/>
    <w:rsid w:val="007C686A"/>
    <w:rsid w:val="007C728E"/>
    <w:rsid w:val="007D2C53"/>
    <w:rsid w:val="007D3D60"/>
    <w:rsid w:val="007E1980"/>
    <w:rsid w:val="007E4B76"/>
    <w:rsid w:val="007E5EA8"/>
    <w:rsid w:val="007F0CF1"/>
    <w:rsid w:val="007F12A5"/>
    <w:rsid w:val="007F4CF1"/>
    <w:rsid w:val="007F6B79"/>
    <w:rsid w:val="007F758D"/>
    <w:rsid w:val="007F7D52"/>
    <w:rsid w:val="0080654C"/>
    <w:rsid w:val="008071C6"/>
    <w:rsid w:val="00817A00"/>
    <w:rsid w:val="00835DB3"/>
    <w:rsid w:val="0083617B"/>
    <w:rsid w:val="008371BD"/>
    <w:rsid w:val="008472C4"/>
    <w:rsid w:val="008504A8"/>
    <w:rsid w:val="0085282E"/>
    <w:rsid w:val="00863408"/>
    <w:rsid w:val="0087198C"/>
    <w:rsid w:val="00872C1F"/>
    <w:rsid w:val="00873B42"/>
    <w:rsid w:val="008856D8"/>
    <w:rsid w:val="00892E82"/>
    <w:rsid w:val="008B399A"/>
    <w:rsid w:val="008C1B58"/>
    <w:rsid w:val="008C39AE"/>
    <w:rsid w:val="008C3F88"/>
    <w:rsid w:val="008C590D"/>
    <w:rsid w:val="008D4EA1"/>
    <w:rsid w:val="008E031B"/>
    <w:rsid w:val="008E4ED3"/>
    <w:rsid w:val="008E7029"/>
    <w:rsid w:val="008E7EF6"/>
    <w:rsid w:val="008F1F98"/>
    <w:rsid w:val="008F6758"/>
    <w:rsid w:val="009040DD"/>
    <w:rsid w:val="00905B47"/>
    <w:rsid w:val="0091331C"/>
    <w:rsid w:val="009279DE"/>
    <w:rsid w:val="00930116"/>
    <w:rsid w:val="0093104D"/>
    <w:rsid w:val="0094212C"/>
    <w:rsid w:val="00954689"/>
    <w:rsid w:val="009617C9"/>
    <w:rsid w:val="00961C93"/>
    <w:rsid w:val="00962720"/>
    <w:rsid w:val="00965324"/>
    <w:rsid w:val="0097091E"/>
    <w:rsid w:val="009760D3"/>
    <w:rsid w:val="00977132"/>
    <w:rsid w:val="00981A4B"/>
    <w:rsid w:val="00982501"/>
    <w:rsid w:val="009877D3"/>
    <w:rsid w:val="00994E8F"/>
    <w:rsid w:val="009951DC"/>
    <w:rsid w:val="009959BB"/>
    <w:rsid w:val="00997158"/>
    <w:rsid w:val="009A3A7C"/>
    <w:rsid w:val="009B2ADB"/>
    <w:rsid w:val="009B603A"/>
    <w:rsid w:val="009C2D0E"/>
    <w:rsid w:val="009C3DAC"/>
    <w:rsid w:val="009C42E0"/>
    <w:rsid w:val="009D5362"/>
    <w:rsid w:val="009E1415"/>
    <w:rsid w:val="009E6116"/>
    <w:rsid w:val="00A02E43"/>
    <w:rsid w:val="00A065F9"/>
    <w:rsid w:val="00A07F34"/>
    <w:rsid w:val="00A22154"/>
    <w:rsid w:val="00A25C38"/>
    <w:rsid w:val="00A36BBE"/>
    <w:rsid w:val="00A4307A"/>
    <w:rsid w:val="00A43B09"/>
    <w:rsid w:val="00A47EBB"/>
    <w:rsid w:val="00A51CDD"/>
    <w:rsid w:val="00A571FA"/>
    <w:rsid w:val="00A6730D"/>
    <w:rsid w:val="00A71625"/>
    <w:rsid w:val="00A71B9B"/>
    <w:rsid w:val="00A751C7"/>
    <w:rsid w:val="00A87844"/>
    <w:rsid w:val="00AA038C"/>
    <w:rsid w:val="00AA35A3"/>
    <w:rsid w:val="00AA7A09"/>
    <w:rsid w:val="00AB3B50"/>
    <w:rsid w:val="00AC05B1"/>
    <w:rsid w:val="00AD356C"/>
    <w:rsid w:val="00AE2914"/>
    <w:rsid w:val="00AE5395"/>
    <w:rsid w:val="00AE6D15"/>
    <w:rsid w:val="00B04182"/>
    <w:rsid w:val="00B07AE3"/>
    <w:rsid w:val="00B11430"/>
    <w:rsid w:val="00B353EB"/>
    <w:rsid w:val="00B4228B"/>
    <w:rsid w:val="00B439C4"/>
    <w:rsid w:val="00B4535E"/>
    <w:rsid w:val="00B5230C"/>
    <w:rsid w:val="00B52A8C"/>
    <w:rsid w:val="00B636A8"/>
    <w:rsid w:val="00B665C6"/>
    <w:rsid w:val="00B66EE1"/>
    <w:rsid w:val="00B805AF"/>
    <w:rsid w:val="00B869EC"/>
    <w:rsid w:val="00B9135E"/>
    <w:rsid w:val="00B9397A"/>
    <w:rsid w:val="00B9633D"/>
    <w:rsid w:val="00BA2EBE"/>
    <w:rsid w:val="00BB0F28"/>
    <w:rsid w:val="00BB458A"/>
    <w:rsid w:val="00BD00D3"/>
    <w:rsid w:val="00BD1659"/>
    <w:rsid w:val="00BD3AA9"/>
    <w:rsid w:val="00BD4A18"/>
    <w:rsid w:val="00BD6DB2"/>
    <w:rsid w:val="00BE11CF"/>
    <w:rsid w:val="00BE21AB"/>
    <w:rsid w:val="00BE55CB"/>
    <w:rsid w:val="00BF617A"/>
    <w:rsid w:val="00C0379D"/>
    <w:rsid w:val="00C03931"/>
    <w:rsid w:val="00C05FE3"/>
    <w:rsid w:val="00C2136D"/>
    <w:rsid w:val="00C214EE"/>
    <w:rsid w:val="00C2314B"/>
    <w:rsid w:val="00C24971"/>
    <w:rsid w:val="00C26BE5"/>
    <w:rsid w:val="00C26E4D"/>
    <w:rsid w:val="00C27909"/>
    <w:rsid w:val="00C27B03"/>
    <w:rsid w:val="00C314E1"/>
    <w:rsid w:val="00C31DA9"/>
    <w:rsid w:val="00C34397"/>
    <w:rsid w:val="00C4095D"/>
    <w:rsid w:val="00C601D2"/>
    <w:rsid w:val="00C657AB"/>
    <w:rsid w:val="00C65BCC"/>
    <w:rsid w:val="00C66970"/>
    <w:rsid w:val="00C8691C"/>
    <w:rsid w:val="00CA168A"/>
    <w:rsid w:val="00CA357E"/>
    <w:rsid w:val="00CA44F9"/>
    <w:rsid w:val="00CA4A69"/>
    <w:rsid w:val="00CC3E0C"/>
    <w:rsid w:val="00CC58D3"/>
    <w:rsid w:val="00CC784D"/>
    <w:rsid w:val="00CC79B1"/>
    <w:rsid w:val="00CE39AE"/>
    <w:rsid w:val="00D0337B"/>
    <w:rsid w:val="00D079B2"/>
    <w:rsid w:val="00D114E9"/>
    <w:rsid w:val="00D12EC7"/>
    <w:rsid w:val="00D429C6"/>
    <w:rsid w:val="00D47748"/>
    <w:rsid w:val="00D54CC3"/>
    <w:rsid w:val="00D6041A"/>
    <w:rsid w:val="00D633EB"/>
    <w:rsid w:val="00D7545D"/>
    <w:rsid w:val="00D82FF7"/>
    <w:rsid w:val="00D847FE"/>
    <w:rsid w:val="00D964EA"/>
    <w:rsid w:val="00D966D0"/>
    <w:rsid w:val="00D96CBE"/>
    <w:rsid w:val="00DA0C59"/>
    <w:rsid w:val="00DA3991"/>
    <w:rsid w:val="00DB7E6C"/>
    <w:rsid w:val="00DD5A29"/>
    <w:rsid w:val="00DD5D9D"/>
    <w:rsid w:val="00DD73C1"/>
    <w:rsid w:val="00DE35CB"/>
    <w:rsid w:val="00DF21E9"/>
    <w:rsid w:val="00E00F14"/>
    <w:rsid w:val="00E06386"/>
    <w:rsid w:val="00E24EB4"/>
    <w:rsid w:val="00E320ED"/>
    <w:rsid w:val="00E33AFB"/>
    <w:rsid w:val="00E34218"/>
    <w:rsid w:val="00E46282"/>
    <w:rsid w:val="00E50C04"/>
    <w:rsid w:val="00E5216E"/>
    <w:rsid w:val="00E54BF1"/>
    <w:rsid w:val="00E714CD"/>
    <w:rsid w:val="00E82344"/>
    <w:rsid w:val="00E84C82"/>
    <w:rsid w:val="00E84D64"/>
    <w:rsid w:val="00E87408"/>
    <w:rsid w:val="00E914C4"/>
    <w:rsid w:val="00E934F5"/>
    <w:rsid w:val="00E96961"/>
    <w:rsid w:val="00EA72EC"/>
    <w:rsid w:val="00EB11CB"/>
    <w:rsid w:val="00EB275A"/>
    <w:rsid w:val="00EB562C"/>
    <w:rsid w:val="00EB786A"/>
    <w:rsid w:val="00EC1578"/>
    <w:rsid w:val="00EC1C72"/>
    <w:rsid w:val="00EC3C7A"/>
    <w:rsid w:val="00EC3CC9"/>
    <w:rsid w:val="00EC680A"/>
    <w:rsid w:val="00EE2BED"/>
    <w:rsid w:val="00EE374B"/>
    <w:rsid w:val="00F11BB5"/>
    <w:rsid w:val="00F1417B"/>
    <w:rsid w:val="00F34B99"/>
    <w:rsid w:val="00F43A0E"/>
    <w:rsid w:val="00F52DAB"/>
    <w:rsid w:val="00F543F0"/>
    <w:rsid w:val="00F6443D"/>
    <w:rsid w:val="00F81D29"/>
    <w:rsid w:val="00F91C4D"/>
    <w:rsid w:val="00F92FD9"/>
    <w:rsid w:val="00FA6684"/>
    <w:rsid w:val="00FA731E"/>
    <w:rsid w:val="00FB2B38"/>
    <w:rsid w:val="00FB3346"/>
    <w:rsid w:val="00FC6358"/>
    <w:rsid w:val="00FD320D"/>
    <w:rsid w:val="00FE23DE"/>
    <w:rsid w:val="21E220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name="toc 2"/>
    <w:lsdException w:unhideWhenUsed="0" w:uiPriority="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name="endnote reference"/>
    <w:lsdException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36"/>
    <w:semiHidden/>
    <w:unhideWhenUsed/>
    <w:qFormat/>
    <w:uiPriority w:val="0"/>
    <w:pPr>
      <w:keepNext/>
      <w:keepLines/>
      <w:spacing w:before="260" w:after="260" w:line="416" w:lineRule="auto"/>
      <w:outlineLvl w:val="2"/>
    </w:pPr>
    <w:rPr>
      <w:b/>
      <w:bCs/>
      <w:sz w:val="32"/>
      <w:szCs w:val="32"/>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semiHidden/>
    <w:uiPriority w:val="0"/>
    <w:pPr>
      <w:tabs>
        <w:tab w:val="right" w:leader="dot" w:pos="9241"/>
      </w:tabs>
      <w:ind w:firstLine="500" w:firstLineChars="500"/>
      <w:jc w:val="left"/>
    </w:pPr>
    <w:rPr>
      <w:rFonts w:ascii="宋体"/>
      <w:szCs w:val="21"/>
    </w:rPr>
  </w:style>
  <w:style w:type="paragraph" w:styleId="4">
    <w:name w:val="index 8"/>
    <w:basedOn w:val="1"/>
    <w:next w:val="1"/>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uiPriority w:val="0"/>
    <w:pPr>
      <w:ind w:left="1050" w:hanging="210"/>
      <w:jc w:val="left"/>
    </w:pPr>
    <w:rPr>
      <w:rFonts w:ascii="Calibri" w:hAnsi="Calibri"/>
      <w:sz w:val="20"/>
      <w:szCs w:val="20"/>
    </w:rPr>
  </w:style>
  <w:style w:type="paragraph" w:styleId="7">
    <w:name w:val="Document Map"/>
    <w:basedOn w:val="1"/>
    <w:semiHidden/>
    <w:uiPriority w:val="0"/>
    <w:pPr>
      <w:shd w:val="clear" w:color="auto" w:fill="000080"/>
    </w:pPr>
  </w:style>
  <w:style w:type="paragraph" w:styleId="8">
    <w:name w:val="index 6"/>
    <w:basedOn w:val="1"/>
    <w:next w:val="1"/>
    <w:uiPriority w:val="0"/>
    <w:pPr>
      <w:ind w:left="1260" w:hanging="210"/>
      <w:jc w:val="left"/>
    </w:pPr>
    <w:rPr>
      <w:rFonts w:ascii="Calibri" w:hAnsi="Calibri"/>
      <w:sz w:val="20"/>
      <w:szCs w:val="20"/>
    </w:rPr>
  </w:style>
  <w:style w:type="paragraph" w:styleId="9">
    <w:name w:val="index 4"/>
    <w:basedOn w:val="1"/>
    <w:next w:val="1"/>
    <w:uiPriority w:val="0"/>
    <w:pPr>
      <w:ind w:left="840" w:hanging="210"/>
      <w:jc w:val="left"/>
    </w:pPr>
    <w:rPr>
      <w:rFonts w:ascii="Calibri" w:hAnsi="Calibri"/>
      <w:sz w:val="20"/>
      <w:szCs w:val="20"/>
    </w:rPr>
  </w:style>
  <w:style w:type="paragraph" w:styleId="10">
    <w:name w:val="toc 5"/>
    <w:basedOn w:val="1"/>
    <w:next w:val="1"/>
    <w:semiHidden/>
    <w:uiPriority w:val="0"/>
    <w:pPr>
      <w:tabs>
        <w:tab w:val="right" w:leader="dot" w:pos="9241"/>
      </w:tabs>
      <w:ind w:firstLine="300" w:firstLineChars="300"/>
      <w:jc w:val="left"/>
    </w:pPr>
    <w:rPr>
      <w:rFonts w:ascii="宋体"/>
      <w:szCs w:val="21"/>
    </w:rPr>
  </w:style>
  <w:style w:type="paragraph" w:styleId="11">
    <w:name w:val="toc 3"/>
    <w:basedOn w:val="1"/>
    <w:next w:val="1"/>
    <w:semiHidden/>
    <w:uiPriority w:val="0"/>
    <w:pPr>
      <w:tabs>
        <w:tab w:val="right" w:leader="dot" w:pos="9241"/>
      </w:tabs>
      <w:ind w:firstLine="100" w:firstLineChars="100"/>
      <w:jc w:val="left"/>
    </w:pPr>
    <w:rPr>
      <w:rFonts w:ascii="宋体"/>
      <w:szCs w:val="21"/>
    </w:rPr>
  </w:style>
  <w:style w:type="paragraph" w:styleId="12">
    <w:name w:val="toc 8"/>
    <w:basedOn w:val="1"/>
    <w:next w:val="1"/>
    <w:semiHidden/>
    <w:uiPriority w:val="0"/>
    <w:pPr>
      <w:tabs>
        <w:tab w:val="right" w:leader="dot" w:pos="9241"/>
      </w:tabs>
      <w:ind w:firstLine="607" w:firstLineChars="600"/>
      <w:jc w:val="left"/>
    </w:pPr>
    <w:rPr>
      <w:rFonts w:ascii="宋体"/>
      <w:szCs w:val="21"/>
    </w:rPr>
  </w:style>
  <w:style w:type="paragraph" w:styleId="13">
    <w:name w:val="index 3"/>
    <w:basedOn w:val="1"/>
    <w:next w:val="1"/>
    <w:uiPriority w:val="0"/>
    <w:pPr>
      <w:ind w:left="630" w:hanging="210"/>
      <w:jc w:val="left"/>
    </w:pPr>
    <w:rPr>
      <w:rFonts w:ascii="Calibri" w:hAnsi="Calibri"/>
      <w:sz w:val="20"/>
      <w:szCs w:val="20"/>
    </w:rPr>
  </w:style>
  <w:style w:type="paragraph" w:styleId="14">
    <w:name w:val="endnote text"/>
    <w:basedOn w:val="1"/>
    <w:semiHidden/>
    <w:uiPriority w:val="0"/>
    <w:pPr>
      <w:snapToGrid w:val="0"/>
      <w:jc w:val="left"/>
    </w:pPr>
  </w:style>
  <w:style w:type="paragraph" w:styleId="15">
    <w:name w:val="footer"/>
    <w:basedOn w:val="1"/>
    <w:uiPriority w:val="0"/>
    <w:pPr>
      <w:snapToGrid w:val="0"/>
      <w:ind w:right="210" w:rightChars="100"/>
      <w:jc w:val="right"/>
    </w:pPr>
    <w:rPr>
      <w:sz w:val="18"/>
      <w:szCs w:val="18"/>
    </w:rPr>
  </w:style>
  <w:style w:type="paragraph" w:styleId="16">
    <w:name w:val="header"/>
    <w:basedOn w:val="1"/>
    <w:uiPriority w:val="0"/>
    <w:pPr>
      <w:snapToGrid w:val="0"/>
      <w:jc w:val="left"/>
    </w:pPr>
    <w:rPr>
      <w:sz w:val="18"/>
      <w:szCs w:val="18"/>
    </w:rPr>
  </w:style>
  <w:style w:type="paragraph" w:styleId="17">
    <w:name w:val="toc 1"/>
    <w:basedOn w:val="1"/>
    <w:next w:val="1"/>
    <w:semiHidden/>
    <w:uiPriority w:val="0"/>
    <w:pPr>
      <w:tabs>
        <w:tab w:val="right" w:leader="dot" w:pos="9242"/>
      </w:tabs>
      <w:spacing w:before="25" w:beforeLines="25" w:after="25" w:afterLines="25"/>
      <w:jc w:val="left"/>
    </w:pPr>
    <w:rPr>
      <w:rFonts w:ascii="宋体"/>
      <w:szCs w:val="21"/>
    </w:rPr>
  </w:style>
  <w:style w:type="paragraph" w:styleId="18">
    <w:name w:val="toc 4"/>
    <w:basedOn w:val="1"/>
    <w:next w:val="1"/>
    <w:semiHidden/>
    <w:uiPriority w:val="0"/>
    <w:pPr>
      <w:tabs>
        <w:tab w:val="right" w:leader="dot" w:pos="9241"/>
      </w:tabs>
      <w:ind w:firstLine="200" w:firstLineChars="200"/>
      <w:jc w:val="left"/>
    </w:pPr>
    <w:rPr>
      <w:rFonts w:ascii="宋体"/>
      <w:szCs w:val="21"/>
    </w:rPr>
  </w:style>
  <w:style w:type="paragraph" w:styleId="19">
    <w:name w:val="index heading"/>
    <w:basedOn w:val="1"/>
    <w:next w:val="20"/>
    <w:uiPriority w:val="0"/>
    <w:pPr>
      <w:spacing w:before="120" w:after="120"/>
      <w:jc w:val="center"/>
    </w:pPr>
    <w:rPr>
      <w:rFonts w:ascii="Calibri" w:hAnsi="Calibri"/>
      <w:b/>
      <w:bCs/>
      <w:iCs/>
      <w:szCs w:val="20"/>
    </w:rPr>
  </w:style>
  <w:style w:type="paragraph" w:styleId="20">
    <w:name w:val="index 1"/>
    <w:basedOn w:val="1"/>
    <w:next w:val="21"/>
    <w:uiPriority w:val="0"/>
    <w:pPr>
      <w:tabs>
        <w:tab w:val="right" w:leader="dot" w:pos="9299"/>
      </w:tabs>
      <w:jc w:val="left"/>
    </w:pPr>
    <w:rPr>
      <w:rFonts w:ascii="宋体"/>
      <w:szCs w:val="21"/>
    </w:rPr>
  </w:style>
  <w:style w:type="paragraph" w:customStyle="1" w:styleId="21">
    <w:name w:val="段"/>
    <w:link w:val="3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uiPriority w:val="0"/>
    <w:pPr>
      <w:numPr>
        <w:ilvl w:val="0"/>
        <w:numId w:val="1"/>
      </w:numPr>
      <w:snapToGrid w:val="0"/>
      <w:jc w:val="left"/>
    </w:pPr>
    <w:rPr>
      <w:rFonts w:ascii="宋体"/>
      <w:sz w:val="18"/>
      <w:szCs w:val="18"/>
    </w:rPr>
  </w:style>
  <w:style w:type="paragraph" w:styleId="23">
    <w:name w:val="toc 6"/>
    <w:basedOn w:val="1"/>
    <w:next w:val="1"/>
    <w:semiHidden/>
    <w:uiPriority w:val="0"/>
    <w:pPr>
      <w:tabs>
        <w:tab w:val="right" w:leader="dot" w:pos="9241"/>
      </w:tabs>
      <w:ind w:firstLine="400" w:firstLineChars="400"/>
      <w:jc w:val="left"/>
    </w:pPr>
    <w:rPr>
      <w:rFonts w:ascii="宋体"/>
      <w:szCs w:val="21"/>
    </w:rPr>
  </w:style>
  <w:style w:type="paragraph" w:styleId="24">
    <w:name w:val="index 7"/>
    <w:basedOn w:val="1"/>
    <w:next w:val="1"/>
    <w:uiPriority w:val="0"/>
    <w:pPr>
      <w:ind w:left="1470" w:hanging="210"/>
      <w:jc w:val="left"/>
    </w:pPr>
    <w:rPr>
      <w:rFonts w:ascii="Calibri" w:hAnsi="Calibri"/>
      <w:sz w:val="20"/>
      <w:szCs w:val="20"/>
    </w:rPr>
  </w:style>
  <w:style w:type="paragraph" w:styleId="25">
    <w:name w:val="index 9"/>
    <w:basedOn w:val="1"/>
    <w:next w:val="1"/>
    <w:uiPriority w:val="0"/>
    <w:pPr>
      <w:ind w:left="1890" w:hanging="210"/>
      <w:jc w:val="left"/>
    </w:pPr>
    <w:rPr>
      <w:rFonts w:ascii="Calibri" w:hAnsi="Calibri"/>
      <w:sz w:val="20"/>
      <w:szCs w:val="20"/>
    </w:rPr>
  </w:style>
  <w:style w:type="paragraph" w:styleId="26">
    <w:name w:val="toc 2"/>
    <w:basedOn w:val="1"/>
    <w:next w:val="1"/>
    <w:semiHidden/>
    <w:uiPriority w:val="0"/>
    <w:pPr>
      <w:tabs>
        <w:tab w:val="right" w:leader="dot" w:pos="9242"/>
      </w:tabs>
    </w:pPr>
    <w:rPr>
      <w:rFonts w:ascii="宋体"/>
      <w:szCs w:val="21"/>
    </w:rPr>
  </w:style>
  <w:style w:type="paragraph" w:styleId="27">
    <w:name w:val="toc 9"/>
    <w:basedOn w:val="1"/>
    <w:next w:val="1"/>
    <w:semiHidden/>
    <w:uiPriority w:val="0"/>
    <w:pPr>
      <w:ind w:left="1470"/>
      <w:jc w:val="left"/>
    </w:pPr>
    <w:rPr>
      <w:sz w:val="20"/>
      <w:szCs w:val="20"/>
    </w:rPr>
  </w:style>
  <w:style w:type="paragraph" w:styleId="28">
    <w:name w:val="index 2"/>
    <w:basedOn w:val="1"/>
    <w:next w:val="1"/>
    <w:uiPriority w:val="0"/>
    <w:pPr>
      <w:ind w:left="420" w:hanging="210"/>
      <w:jc w:val="left"/>
    </w:pPr>
    <w:rPr>
      <w:rFonts w:ascii="Calibri" w:hAnsi="Calibri"/>
      <w:sz w:val="20"/>
      <w:szCs w:val="20"/>
    </w:rPr>
  </w:style>
  <w:style w:type="table" w:styleId="30">
    <w:name w:val="Table Grid"/>
    <w:basedOn w:val="29"/>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endnote reference"/>
    <w:semiHidden/>
    <w:uiPriority w:val="0"/>
    <w:rPr>
      <w:vertAlign w:val="superscript"/>
    </w:rPr>
  </w:style>
  <w:style w:type="character" w:styleId="33">
    <w:name w:val="page number"/>
    <w:uiPriority w:val="0"/>
    <w:rPr>
      <w:rFonts w:ascii="Times New Roman" w:hAnsi="Times New Roman" w:eastAsia="宋体"/>
      <w:sz w:val="18"/>
    </w:rPr>
  </w:style>
  <w:style w:type="character" w:styleId="34">
    <w:name w:val="FollowedHyperlink"/>
    <w:uiPriority w:val="0"/>
    <w:rPr>
      <w:color w:val="800080"/>
      <w:u w:val="single"/>
    </w:rPr>
  </w:style>
  <w:style w:type="character" w:styleId="35">
    <w:name w:val="Hyperlink"/>
    <w:uiPriority w:val="0"/>
    <w:rPr>
      <w:color w:val="0000FF"/>
      <w:spacing w:val="0"/>
      <w:w w:val="100"/>
      <w:szCs w:val="21"/>
      <w:u w:val="single"/>
    </w:rPr>
  </w:style>
  <w:style w:type="character" w:styleId="36">
    <w:name w:val="footnote reference"/>
    <w:semiHidden/>
    <w:uiPriority w:val="0"/>
    <w:rPr>
      <w:vertAlign w:val="superscript"/>
    </w:rPr>
  </w:style>
  <w:style w:type="character" w:customStyle="1" w:styleId="37">
    <w:name w:val="段 Char"/>
    <w:link w:val="21"/>
    <w:qFormat/>
    <w:uiPriority w:val="0"/>
    <w:rPr>
      <w:rFonts w:ascii="宋体"/>
      <w:sz w:val="21"/>
      <w:lang w:val="en-US" w:eastAsia="zh-CN" w:bidi="ar-SA"/>
    </w:rPr>
  </w:style>
  <w:style w:type="paragraph" w:customStyle="1" w:styleId="38">
    <w:name w:val="一级条标题"/>
    <w:next w:val="21"/>
    <w:link w:val="140"/>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9">
    <w:name w:val="标准书脚_奇数页"/>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0">
    <w:name w:val="标准书眉_奇数页"/>
    <w:next w:val="1"/>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1">
    <w:name w:val="章标题"/>
    <w:next w:val="21"/>
    <w:link w:val="137"/>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2">
    <w:name w:val="二级条标题"/>
    <w:basedOn w:val="38"/>
    <w:next w:val="21"/>
    <w:uiPriority w:val="0"/>
    <w:pPr>
      <w:numPr>
        <w:ilvl w:val="2"/>
      </w:numPr>
      <w:spacing w:before="50" w:after="50"/>
      <w:outlineLvl w:val="3"/>
    </w:pPr>
  </w:style>
  <w:style w:type="paragraph" w:customStyle="1" w:styleId="4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4">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5">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6">
    <w:name w:val="目次、标准名称标题"/>
    <w:basedOn w:val="1"/>
    <w:next w:val="2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7">
    <w:name w:val="三级条标题"/>
    <w:basedOn w:val="42"/>
    <w:next w:val="21"/>
    <w:uiPriority w:val="0"/>
    <w:pPr>
      <w:numPr>
        <w:ilvl w:val="3"/>
      </w:numPr>
      <w:outlineLvl w:val="4"/>
    </w:pPr>
  </w:style>
  <w:style w:type="paragraph" w:customStyle="1" w:styleId="48">
    <w:name w:val="示例"/>
    <w:next w:val="49"/>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9">
    <w:name w:val="示例内容"/>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数字编号列项（二级）"/>
    <w:uiPriority w:val="0"/>
    <w:pPr>
      <w:numPr>
        <w:ilvl w:val="1"/>
        <w:numId w:val="5"/>
      </w:numPr>
      <w:jc w:val="both"/>
    </w:pPr>
    <w:rPr>
      <w:rFonts w:ascii="宋体" w:hAnsi="Times New Roman" w:eastAsia="宋体" w:cs="Times New Roman"/>
      <w:sz w:val="21"/>
      <w:lang w:val="en-US" w:eastAsia="zh-CN" w:bidi="ar-SA"/>
    </w:rPr>
  </w:style>
  <w:style w:type="paragraph" w:customStyle="1" w:styleId="51">
    <w:name w:val="四级条标题"/>
    <w:basedOn w:val="47"/>
    <w:next w:val="21"/>
    <w:uiPriority w:val="0"/>
    <w:pPr>
      <w:numPr>
        <w:ilvl w:val="4"/>
      </w:numPr>
      <w:outlineLvl w:val="5"/>
    </w:pPr>
  </w:style>
  <w:style w:type="paragraph" w:customStyle="1" w:styleId="52">
    <w:name w:val="五级条标题"/>
    <w:basedOn w:val="51"/>
    <w:next w:val="21"/>
    <w:qFormat/>
    <w:uiPriority w:val="0"/>
    <w:pPr>
      <w:numPr>
        <w:ilvl w:val="5"/>
      </w:numPr>
      <w:outlineLvl w:val="6"/>
    </w:pPr>
  </w:style>
  <w:style w:type="paragraph" w:customStyle="1" w:styleId="53">
    <w:name w:val="注："/>
    <w:next w:val="21"/>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4">
    <w:name w:val="注×："/>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5">
    <w:name w:val="字母编号列项（一级）"/>
    <w:uiPriority w:val="0"/>
    <w:pPr>
      <w:numPr>
        <w:ilvl w:val="0"/>
        <w:numId w:val="5"/>
      </w:numPr>
      <w:jc w:val="both"/>
    </w:pPr>
    <w:rPr>
      <w:rFonts w:ascii="宋体" w:hAnsi="Times New Roman" w:eastAsia="宋体" w:cs="Times New Roman"/>
      <w:sz w:val="21"/>
      <w:lang w:val="en-US" w:eastAsia="zh-CN" w:bidi="ar-SA"/>
    </w:rPr>
  </w:style>
  <w:style w:type="paragraph" w:customStyle="1" w:styleId="56">
    <w:name w:val="列项◆（三级）"/>
    <w:basedOn w:val="1"/>
    <w:uiPriority w:val="0"/>
    <w:pPr>
      <w:numPr>
        <w:ilvl w:val="2"/>
        <w:numId w:val="3"/>
      </w:numPr>
    </w:pPr>
    <w:rPr>
      <w:rFonts w:ascii="宋体"/>
      <w:szCs w:val="21"/>
    </w:rPr>
  </w:style>
  <w:style w:type="paragraph" w:customStyle="1" w:styleId="57">
    <w:name w:val="编号列项（三级）"/>
    <w:uiPriority w:val="0"/>
    <w:pPr>
      <w:numPr>
        <w:ilvl w:val="2"/>
        <w:numId w:val="5"/>
      </w:numPr>
    </w:pPr>
    <w:rPr>
      <w:rFonts w:ascii="宋体" w:hAnsi="Times New Roman" w:eastAsia="宋体" w:cs="Times New Roman"/>
      <w:sz w:val="21"/>
      <w:lang w:val="en-US" w:eastAsia="zh-CN" w:bidi="ar-SA"/>
    </w:rPr>
  </w:style>
  <w:style w:type="paragraph" w:customStyle="1" w:styleId="58">
    <w:name w:val="示例×："/>
    <w:basedOn w:val="41"/>
    <w:qFormat/>
    <w:uiPriority w:val="0"/>
    <w:pPr>
      <w:numPr>
        <w:numId w:val="8"/>
      </w:numPr>
      <w:spacing w:before="0" w:beforeLines="0" w:after="0" w:afterLines="0"/>
      <w:outlineLvl w:val="9"/>
    </w:pPr>
    <w:rPr>
      <w:rFonts w:ascii="宋体" w:eastAsia="宋体"/>
      <w:sz w:val="18"/>
      <w:szCs w:val="18"/>
    </w:rPr>
  </w:style>
  <w:style w:type="paragraph" w:customStyle="1" w:styleId="59">
    <w:name w:val="二级无"/>
    <w:basedOn w:val="42"/>
    <w:uiPriority w:val="0"/>
    <w:pPr>
      <w:spacing w:before="0" w:beforeLines="0" w:after="0" w:afterLines="0"/>
    </w:pPr>
    <w:rPr>
      <w:rFonts w:ascii="宋体" w:eastAsia="宋体"/>
    </w:rPr>
  </w:style>
  <w:style w:type="paragraph" w:customStyle="1" w:styleId="60">
    <w:name w:val="注：（正文）"/>
    <w:basedOn w:val="53"/>
    <w:next w:val="21"/>
    <w:uiPriority w:val="0"/>
  </w:style>
  <w:style w:type="paragraph" w:customStyle="1" w:styleId="61">
    <w:name w:val="注×：（正文）"/>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3">
    <w:name w:val="标准称谓"/>
    <w:next w:val="1"/>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4">
    <w:name w:val="标准书脚_偶数页"/>
    <w:uiPriority w:val="0"/>
    <w:pPr>
      <w:spacing w:before="120"/>
      <w:ind w:left="221"/>
    </w:pPr>
    <w:rPr>
      <w:rFonts w:ascii="宋体" w:hAnsi="Times New Roman" w:eastAsia="宋体" w:cs="Times New Roman"/>
      <w:sz w:val="18"/>
      <w:szCs w:val="18"/>
      <w:lang w:val="en-US" w:eastAsia="zh-CN" w:bidi="ar-SA"/>
    </w:rPr>
  </w:style>
  <w:style w:type="paragraph" w:customStyle="1" w:styleId="65">
    <w:name w:val="标准书眉_偶数页"/>
    <w:basedOn w:val="40"/>
    <w:next w:val="1"/>
    <w:uiPriority w:val="0"/>
    <w:pPr>
      <w:jc w:val="left"/>
    </w:pPr>
  </w:style>
  <w:style w:type="paragraph" w:customStyle="1" w:styleId="66">
    <w:name w:val="标准书眉一"/>
    <w:uiPriority w:val="0"/>
    <w:pPr>
      <w:jc w:val="both"/>
    </w:pPr>
    <w:rPr>
      <w:rFonts w:ascii="Times New Roman" w:hAnsi="Times New Roman" w:eastAsia="宋体" w:cs="Times New Roman"/>
      <w:lang w:val="en-US" w:eastAsia="zh-CN" w:bidi="ar-SA"/>
    </w:rPr>
  </w:style>
  <w:style w:type="paragraph" w:customStyle="1" w:styleId="67">
    <w:name w:val="参考文献"/>
    <w:basedOn w:val="1"/>
    <w:next w:val="21"/>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参考文献、索引标题"/>
    <w:basedOn w:val="1"/>
    <w:next w:val="21"/>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69">
    <w:name w:val="发布"/>
    <w:uiPriority w:val="0"/>
    <w:rPr>
      <w:rFonts w:ascii="黑体" w:eastAsia="黑体"/>
      <w:spacing w:val="85"/>
      <w:w w:val="100"/>
      <w:position w:val="3"/>
      <w:sz w:val="28"/>
      <w:szCs w:val="28"/>
    </w:rPr>
  </w:style>
  <w:style w:type="paragraph" w:customStyle="1" w:styleId="70">
    <w:name w:val="发布部门"/>
    <w:next w:val="21"/>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1">
    <w:name w:val="发布日期"/>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2">
    <w:name w:val="封面标准代替信息"/>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3">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4">
    <w:name w:val="封面标准名称"/>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5">
    <w:name w:val="封面标准英文名称"/>
    <w:basedOn w:val="74"/>
    <w:uiPriority w:val="0"/>
    <w:pPr>
      <w:framePr w:wrap="around"/>
      <w:spacing w:before="370" w:line="400" w:lineRule="exact"/>
    </w:pPr>
    <w:rPr>
      <w:rFonts w:ascii="Times New Roman"/>
      <w:sz w:val="28"/>
      <w:szCs w:val="28"/>
    </w:rPr>
  </w:style>
  <w:style w:type="paragraph" w:customStyle="1" w:styleId="76">
    <w:name w:val="封面一致性程度标识"/>
    <w:basedOn w:val="75"/>
    <w:uiPriority w:val="0"/>
    <w:pPr>
      <w:framePr w:wrap="around"/>
      <w:spacing w:before="440"/>
    </w:pPr>
    <w:rPr>
      <w:rFonts w:ascii="宋体" w:eastAsia="宋体"/>
    </w:rPr>
  </w:style>
  <w:style w:type="paragraph" w:customStyle="1" w:styleId="77">
    <w:name w:val="封面标准文稿类别"/>
    <w:basedOn w:val="76"/>
    <w:uiPriority w:val="0"/>
    <w:pPr>
      <w:framePr w:wrap="around"/>
      <w:spacing w:after="160" w:line="240" w:lineRule="auto"/>
    </w:pPr>
    <w:rPr>
      <w:sz w:val="24"/>
    </w:rPr>
  </w:style>
  <w:style w:type="paragraph" w:customStyle="1" w:styleId="78">
    <w:name w:val="封面标准文稿编辑信息"/>
    <w:basedOn w:val="77"/>
    <w:uiPriority w:val="0"/>
    <w:pPr>
      <w:framePr w:wrap="around"/>
      <w:spacing w:before="180" w:line="180" w:lineRule="exact"/>
    </w:pPr>
    <w:rPr>
      <w:sz w:val="21"/>
    </w:rPr>
  </w:style>
  <w:style w:type="paragraph" w:customStyle="1" w:styleId="79">
    <w:name w:val="封面正文"/>
    <w:uiPriority w:val="0"/>
    <w:pPr>
      <w:jc w:val="both"/>
    </w:pPr>
    <w:rPr>
      <w:rFonts w:ascii="Times New Roman" w:hAnsi="Times New Roman" w:eastAsia="宋体" w:cs="Times New Roman"/>
      <w:lang w:val="en-US" w:eastAsia="zh-CN" w:bidi="ar-SA"/>
    </w:rPr>
  </w:style>
  <w:style w:type="paragraph" w:customStyle="1" w:styleId="80">
    <w:name w:val="附录标识"/>
    <w:basedOn w:val="1"/>
    <w:next w:val="21"/>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1">
    <w:name w:val="附录标题"/>
    <w:basedOn w:val="21"/>
    <w:next w:val="21"/>
    <w:uiPriority w:val="0"/>
    <w:pPr>
      <w:ind w:firstLine="0" w:firstLineChars="0"/>
      <w:jc w:val="center"/>
    </w:pPr>
    <w:rPr>
      <w:rFonts w:ascii="黑体" w:eastAsia="黑体"/>
    </w:rPr>
  </w:style>
  <w:style w:type="paragraph" w:customStyle="1" w:styleId="82">
    <w:name w:val="附录表标号"/>
    <w:basedOn w:val="1"/>
    <w:next w:val="21"/>
    <w:uiPriority w:val="0"/>
    <w:pPr>
      <w:numPr>
        <w:ilvl w:val="0"/>
        <w:numId w:val="11"/>
      </w:numPr>
      <w:tabs>
        <w:tab w:val="clear" w:pos="0"/>
      </w:tabs>
      <w:spacing w:line="14" w:lineRule="exact"/>
      <w:ind w:left="811" w:hanging="448"/>
      <w:jc w:val="center"/>
      <w:outlineLvl w:val="0"/>
    </w:pPr>
    <w:rPr>
      <w:color w:val="FFFFFF"/>
    </w:rPr>
  </w:style>
  <w:style w:type="paragraph" w:customStyle="1" w:styleId="83">
    <w:name w:val="附录表标题"/>
    <w:basedOn w:val="1"/>
    <w:next w:val="21"/>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84">
    <w:name w:val="附录二级条标题"/>
    <w:basedOn w:val="1"/>
    <w:next w:val="21"/>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5">
    <w:name w:val="附录二级无"/>
    <w:basedOn w:val="84"/>
    <w:uiPriority w:val="0"/>
    <w:pPr>
      <w:tabs>
        <w:tab w:val="clear" w:pos="360"/>
      </w:tabs>
      <w:spacing w:before="0" w:beforeLines="0" w:after="0" w:afterLines="0"/>
    </w:pPr>
    <w:rPr>
      <w:rFonts w:ascii="宋体" w:eastAsia="宋体"/>
      <w:szCs w:val="21"/>
    </w:rPr>
  </w:style>
  <w:style w:type="paragraph" w:customStyle="1" w:styleId="86">
    <w:name w:val="附录公式"/>
    <w:basedOn w:val="21"/>
    <w:next w:val="21"/>
    <w:link w:val="87"/>
    <w:qFormat/>
    <w:uiPriority w:val="0"/>
  </w:style>
  <w:style w:type="character" w:customStyle="1" w:styleId="87">
    <w:name w:val="附录公式 Char"/>
    <w:link w:val="86"/>
    <w:uiPriority w:val="0"/>
    <w:rPr>
      <w:rFonts w:ascii="宋体"/>
      <w:sz w:val="21"/>
      <w:lang w:val="en-US" w:eastAsia="zh-CN" w:bidi="ar-SA"/>
    </w:rPr>
  </w:style>
  <w:style w:type="paragraph" w:customStyle="1" w:styleId="88">
    <w:name w:val="附录公式编号制表符"/>
    <w:basedOn w:val="1"/>
    <w:next w:val="21"/>
    <w:qFormat/>
    <w:uiPriority w:val="0"/>
    <w:pPr>
      <w:widowControl/>
      <w:tabs>
        <w:tab w:val="center" w:pos="4201"/>
        <w:tab w:val="right" w:leader="dot" w:pos="9298"/>
      </w:tabs>
      <w:autoSpaceDE w:val="0"/>
      <w:autoSpaceDN w:val="0"/>
    </w:pPr>
    <w:rPr>
      <w:rFonts w:ascii="宋体"/>
      <w:kern w:val="0"/>
      <w:szCs w:val="20"/>
    </w:rPr>
  </w:style>
  <w:style w:type="paragraph" w:customStyle="1" w:styleId="89">
    <w:name w:val="附录三级条标题"/>
    <w:basedOn w:val="84"/>
    <w:next w:val="21"/>
    <w:uiPriority w:val="0"/>
    <w:pPr>
      <w:numPr>
        <w:ilvl w:val="4"/>
      </w:numPr>
      <w:outlineLvl w:val="4"/>
    </w:pPr>
  </w:style>
  <w:style w:type="paragraph" w:customStyle="1" w:styleId="90">
    <w:name w:val="附录三级无"/>
    <w:basedOn w:val="89"/>
    <w:uiPriority w:val="0"/>
    <w:pPr>
      <w:tabs>
        <w:tab w:val="clear" w:pos="360"/>
      </w:tabs>
      <w:spacing w:before="0" w:beforeLines="0" w:after="0" w:afterLines="0"/>
    </w:pPr>
    <w:rPr>
      <w:rFonts w:ascii="宋体" w:eastAsia="宋体"/>
      <w:szCs w:val="21"/>
    </w:rPr>
  </w:style>
  <w:style w:type="paragraph" w:customStyle="1" w:styleId="91">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2">
    <w:name w:val="附录四级条标题"/>
    <w:basedOn w:val="89"/>
    <w:next w:val="21"/>
    <w:uiPriority w:val="0"/>
    <w:pPr>
      <w:numPr>
        <w:ilvl w:val="5"/>
      </w:numPr>
      <w:outlineLvl w:val="5"/>
    </w:pPr>
  </w:style>
  <w:style w:type="paragraph" w:customStyle="1" w:styleId="93">
    <w:name w:val="附录四级无"/>
    <w:basedOn w:val="92"/>
    <w:uiPriority w:val="0"/>
    <w:pPr>
      <w:tabs>
        <w:tab w:val="clear" w:pos="360"/>
      </w:tabs>
      <w:spacing w:before="0" w:beforeLines="0" w:after="0" w:afterLines="0"/>
    </w:pPr>
    <w:rPr>
      <w:rFonts w:ascii="宋体" w:eastAsia="宋体"/>
      <w:szCs w:val="21"/>
    </w:rPr>
  </w:style>
  <w:style w:type="paragraph" w:customStyle="1" w:styleId="94">
    <w:name w:val="附录图标号"/>
    <w:basedOn w:val="1"/>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5">
    <w:name w:val="附录图标题"/>
    <w:basedOn w:val="1"/>
    <w:next w:val="21"/>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96">
    <w:name w:val="附录五级条标题"/>
    <w:basedOn w:val="92"/>
    <w:next w:val="21"/>
    <w:uiPriority w:val="0"/>
    <w:pPr>
      <w:numPr>
        <w:ilvl w:val="6"/>
      </w:numPr>
      <w:outlineLvl w:val="6"/>
    </w:pPr>
  </w:style>
  <w:style w:type="paragraph" w:customStyle="1" w:styleId="97">
    <w:name w:val="附录五级无"/>
    <w:basedOn w:val="96"/>
    <w:uiPriority w:val="0"/>
    <w:pPr>
      <w:tabs>
        <w:tab w:val="clear" w:pos="360"/>
      </w:tabs>
      <w:spacing w:before="0" w:beforeLines="0" w:after="0" w:afterLines="0"/>
    </w:pPr>
    <w:rPr>
      <w:rFonts w:ascii="宋体" w:eastAsia="宋体"/>
      <w:szCs w:val="21"/>
    </w:rPr>
  </w:style>
  <w:style w:type="paragraph" w:customStyle="1" w:styleId="98">
    <w:name w:val="附录章标题"/>
    <w:next w:val="21"/>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21"/>
    <w:uiPriority w:val="0"/>
    <w:pPr>
      <w:numPr>
        <w:ilvl w:val="2"/>
      </w:numPr>
      <w:autoSpaceDN w:val="0"/>
      <w:spacing w:before="50" w:beforeLines="50" w:after="50" w:afterLines="50"/>
      <w:outlineLvl w:val="2"/>
    </w:pPr>
  </w:style>
  <w:style w:type="paragraph" w:customStyle="1" w:styleId="100">
    <w:name w:val="附录一级无"/>
    <w:basedOn w:val="99"/>
    <w:uiPriority w:val="0"/>
    <w:pPr>
      <w:tabs>
        <w:tab w:val="clear" w:pos="360"/>
      </w:tabs>
      <w:spacing w:before="0" w:beforeLines="0" w:after="0" w:afterLines="0"/>
    </w:pPr>
    <w:rPr>
      <w:rFonts w:ascii="宋体" w:eastAsia="宋体"/>
      <w:szCs w:val="21"/>
    </w:rPr>
  </w:style>
  <w:style w:type="paragraph" w:customStyle="1" w:styleId="101">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2">
    <w:name w:val="列项说明"/>
    <w:basedOn w:val="1"/>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3">
    <w:name w:val="列项说明数字编号"/>
    <w:uiPriority w:val="0"/>
    <w:pPr>
      <w:ind w:left="600" w:leftChars="400" w:hanging="200" w:hangingChars="200"/>
    </w:pPr>
    <w:rPr>
      <w:rFonts w:ascii="宋体" w:hAnsi="Times New Roman" w:eastAsia="宋体" w:cs="Times New Roman"/>
      <w:sz w:val="21"/>
      <w:lang w:val="en-US" w:eastAsia="zh-CN" w:bidi="ar-SA"/>
    </w:rPr>
  </w:style>
  <w:style w:type="paragraph" w:customStyle="1" w:styleId="104">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05">
    <w:name w:val="其他标准标志"/>
    <w:basedOn w:val="62"/>
    <w:uiPriority w:val="0"/>
    <w:pPr>
      <w:framePr w:w="6101" w:wrap="around" w:vAnchor="page" w:hAnchor="page" w:x="4673" w:y="942"/>
    </w:pPr>
    <w:rPr>
      <w:w w:val="130"/>
    </w:rPr>
  </w:style>
  <w:style w:type="paragraph" w:customStyle="1" w:styleId="106">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7">
    <w:name w:val="其他发布部门"/>
    <w:basedOn w:val="70"/>
    <w:uiPriority w:val="0"/>
    <w:pPr>
      <w:framePr w:wrap="around" w:y="15310"/>
      <w:spacing w:line="0" w:lineRule="atLeast"/>
    </w:pPr>
    <w:rPr>
      <w:rFonts w:ascii="黑体" w:eastAsia="黑体"/>
      <w:b w:val="0"/>
    </w:rPr>
  </w:style>
  <w:style w:type="paragraph" w:customStyle="1" w:styleId="108">
    <w:name w:val="前言、引言标题"/>
    <w:next w:val="21"/>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9">
    <w:name w:val="三级无"/>
    <w:basedOn w:val="47"/>
    <w:uiPriority w:val="0"/>
    <w:pPr>
      <w:spacing w:before="0" w:beforeLines="0" w:after="0" w:afterLines="0"/>
    </w:pPr>
    <w:rPr>
      <w:rFonts w:ascii="宋体" w:eastAsia="宋体"/>
    </w:rPr>
  </w:style>
  <w:style w:type="paragraph" w:customStyle="1" w:styleId="110">
    <w:name w:val="实施日期"/>
    <w:basedOn w:val="71"/>
    <w:uiPriority w:val="0"/>
    <w:pPr>
      <w:framePr w:wrap="around" w:vAnchor="page" w:hAnchor="text"/>
      <w:jc w:val="right"/>
    </w:pPr>
  </w:style>
  <w:style w:type="paragraph" w:customStyle="1" w:styleId="111">
    <w:name w:val="示例后文字"/>
    <w:basedOn w:val="21"/>
    <w:next w:val="21"/>
    <w:qFormat/>
    <w:uiPriority w:val="0"/>
    <w:pPr>
      <w:ind w:firstLine="360"/>
    </w:pPr>
    <w:rPr>
      <w:sz w:val="18"/>
    </w:rPr>
  </w:style>
  <w:style w:type="paragraph" w:customStyle="1" w:styleId="112">
    <w:name w:val="首示例"/>
    <w:next w:val="21"/>
    <w:link w:val="113"/>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3">
    <w:name w:val="首示例 Char"/>
    <w:link w:val="112"/>
    <w:uiPriority w:val="0"/>
    <w:rPr>
      <w:rFonts w:ascii="宋体" w:hAnsi="宋体"/>
      <w:kern w:val="2"/>
      <w:sz w:val="18"/>
      <w:szCs w:val="18"/>
      <w:lang w:val="en-US" w:eastAsia="zh-CN" w:bidi="ar-SA"/>
    </w:rPr>
  </w:style>
  <w:style w:type="paragraph" w:customStyle="1" w:styleId="114">
    <w:name w:val="四级无"/>
    <w:basedOn w:val="51"/>
    <w:uiPriority w:val="0"/>
    <w:pPr>
      <w:spacing w:before="0" w:beforeLines="0" w:after="0" w:afterLines="0"/>
    </w:pPr>
    <w:rPr>
      <w:rFonts w:ascii="宋体" w:eastAsia="宋体"/>
    </w:rPr>
  </w:style>
  <w:style w:type="paragraph" w:customStyle="1" w:styleId="115">
    <w:name w:val="条文脚注"/>
    <w:basedOn w:val="22"/>
    <w:uiPriority w:val="0"/>
    <w:pPr>
      <w:numPr>
        <w:numId w:val="0"/>
      </w:numPr>
      <w:jc w:val="both"/>
    </w:pPr>
  </w:style>
  <w:style w:type="paragraph" w:customStyle="1" w:styleId="116">
    <w:name w:val="图标脚注说明"/>
    <w:basedOn w:val="21"/>
    <w:uiPriority w:val="0"/>
    <w:pPr>
      <w:ind w:left="840" w:hanging="420" w:firstLineChars="0"/>
    </w:pPr>
    <w:rPr>
      <w:sz w:val="18"/>
      <w:szCs w:val="18"/>
    </w:rPr>
  </w:style>
  <w:style w:type="paragraph" w:customStyle="1" w:styleId="117">
    <w:name w:val="图表脚注说明"/>
    <w:basedOn w:val="1"/>
    <w:uiPriority w:val="0"/>
    <w:pPr>
      <w:numPr>
        <w:ilvl w:val="0"/>
        <w:numId w:val="15"/>
      </w:numPr>
    </w:pPr>
    <w:rPr>
      <w:rFonts w:ascii="宋体"/>
      <w:sz w:val="18"/>
      <w:szCs w:val="18"/>
    </w:rPr>
  </w:style>
  <w:style w:type="paragraph" w:customStyle="1" w:styleId="118">
    <w:name w:val="图的脚注"/>
    <w:next w:val="2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9">
    <w:name w:val="文献分类号"/>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五级无"/>
    <w:basedOn w:val="52"/>
    <w:uiPriority w:val="0"/>
    <w:pPr>
      <w:spacing w:before="0" w:beforeLines="0" w:after="0" w:afterLines="0"/>
    </w:pPr>
    <w:rPr>
      <w:rFonts w:ascii="宋体" w:eastAsia="宋体"/>
    </w:rPr>
  </w:style>
  <w:style w:type="paragraph" w:customStyle="1" w:styleId="121">
    <w:name w:val="一级无"/>
    <w:basedOn w:val="38"/>
    <w:uiPriority w:val="0"/>
    <w:pPr>
      <w:spacing w:before="0" w:beforeLines="0" w:after="0" w:afterLines="0"/>
    </w:pPr>
    <w:rPr>
      <w:rFonts w:ascii="宋体" w:eastAsia="宋体"/>
    </w:rPr>
  </w:style>
  <w:style w:type="paragraph" w:customStyle="1" w:styleId="122">
    <w:name w:val="正文表标题"/>
    <w:next w:val="21"/>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3">
    <w:name w:val="正文公式编号制表符"/>
    <w:basedOn w:val="21"/>
    <w:next w:val="21"/>
    <w:qFormat/>
    <w:uiPriority w:val="0"/>
    <w:pPr>
      <w:ind w:firstLine="0" w:firstLineChars="0"/>
    </w:pPr>
  </w:style>
  <w:style w:type="paragraph" w:customStyle="1" w:styleId="124">
    <w:name w:val="正文图标题"/>
    <w:next w:val="21"/>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5">
    <w:name w:val="终结线"/>
    <w:basedOn w:val="1"/>
    <w:uiPriority w:val="0"/>
    <w:pPr>
      <w:framePr w:hSpace="181" w:vSpace="181" w:wrap="around" w:vAnchor="text" w:hAnchor="margin" w:xAlign="center" w:y="285"/>
    </w:pPr>
  </w:style>
  <w:style w:type="paragraph" w:customStyle="1" w:styleId="126">
    <w:name w:val="其他发布日期"/>
    <w:basedOn w:val="71"/>
    <w:uiPriority w:val="0"/>
    <w:pPr>
      <w:framePr w:wrap="around" w:vAnchor="page" w:hAnchor="text" w:x="1419"/>
    </w:pPr>
  </w:style>
  <w:style w:type="paragraph" w:customStyle="1" w:styleId="127">
    <w:name w:val="其他实施日期"/>
    <w:basedOn w:val="110"/>
    <w:uiPriority w:val="0"/>
    <w:pPr>
      <w:framePr w:wrap="around"/>
    </w:pPr>
  </w:style>
  <w:style w:type="paragraph" w:customStyle="1" w:styleId="128">
    <w:name w:val="封面标准名称2"/>
    <w:basedOn w:val="74"/>
    <w:uiPriority w:val="0"/>
    <w:pPr>
      <w:framePr w:wrap="around" w:y="4469"/>
      <w:spacing w:before="630" w:beforeLines="630"/>
    </w:pPr>
  </w:style>
  <w:style w:type="paragraph" w:customStyle="1" w:styleId="129">
    <w:name w:val="封面标准英文名称2"/>
    <w:basedOn w:val="75"/>
    <w:uiPriority w:val="0"/>
    <w:pPr>
      <w:framePr w:wrap="around" w:y="4469"/>
    </w:pPr>
  </w:style>
  <w:style w:type="paragraph" w:customStyle="1" w:styleId="130">
    <w:name w:val="封面一致性程度标识2"/>
    <w:basedOn w:val="76"/>
    <w:uiPriority w:val="0"/>
    <w:pPr>
      <w:framePr w:wrap="around" w:y="4469"/>
    </w:pPr>
  </w:style>
  <w:style w:type="paragraph" w:customStyle="1" w:styleId="131">
    <w:name w:val="封面标准文稿类别2"/>
    <w:basedOn w:val="77"/>
    <w:uiPriority w:val="0"/>
    <w:pPr>
      <w:framePr w:wrap="around" w:y="4469"/>
    </w:pPr>
  </w:style>
  <w:style w:type="paragraph" w:customStyle="1" w:styleId="132">
    <w:name w:val="封面标准文稿编辑信息2"/>
    <w:basedOn w:val="78"/>
    <w:uiPriority w:val="0"/>
    <w:pPr>
      <w:framePr w:wrap="around" w:y="4469"/>
    </w:pPr>
  </w:style>
  <w:style w:type="character" w:customStyle="1" w:styleId="133">
    <w:name w:val="标准文件_段 Char"/>
    <w:link w:val="134"/>
    <w:qFormat/>
    <w:uiPriority w:val="0"/>
    <w:rPr>
      <w:rFonts w:ascii="宋体"/>
      <w:sz w:val="21"/>
    </w:rPr>
  </w:style>
  <w:style w:type="paragraph" w:customStyle="1" w:styleId="134">
    <w:name w:val="标准文件_段"/>
    <w:link w:val="13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5">
    <w:name w:val="章"/>
    <w:basedOn w:val="2"/>
    <w:qFormat/>
    <w:uiPriority w:val="0"/>
    <w:pPr>
      <w:spacing w:line="410" w:lineRule="auto"/>
    </w:pPr>
    <w:rPr>
      <w:rFonts w:eastAsia="黑体"/>
      <w:b w:val="0"/>
      <w:sz w:val="21"/>
    </w:rPr>
  </w:style>
  <w:style w:type="character" w:customStyle="1" w:styleId="136">
    <w:name w:val="标题 3 字符"/>
    <w:link w:val="2"/>
    <w:semiHidden/>
    <w:uiPriority w:val="0"/>
    <w:rPr>
      <w:b/>
      <w:bCs/>
      <w:kern w:val="2"/>
      <w:sz w:val="32"/>
      <w:szCs w:val="32"/>
    </w:rPr>
  </w:style>
  <w:style w:type="character" w:customStyle="1" w:styleId="137">
    <w:name w:val="章标题 Char Char"/>
    <w:link w:val="41"/>
    <w:uiPriority w:val="0"/>
    <w:rPr>
      <w:rFonts w:ascii="黑体" w:eastAsia="黑体"/>
      <w:sz w:val="21"/>
    </w:rPr>
  </w:style>
  <w:style w:type="paragraph" w:customStyle="1" w:styleId="138">
    <w:name w:val="条2"/>
    <w:basedOn w:val="1"/>
    <w:next w:val="21"/>
    <w:qFormat/>
    <w:uiPriority w:val="0"/>
    <w:pPr>
      <w:spacing w:after="160" w:line="278" w:lineRule="auto"/>
      <w:outlineLvl w:val="1"/>
    </w:pPr>
    <w:rPr>
      <w:rFonts w:hint="eastAsia" w:ascii="黑体" w:eastAsia="黑体"/>
      <w:kern w:val="21"/>
    </w:rPr>
  </w:style>
  <w:style w:type="paragraph" w:customStyle="1" w:styleId="139">
    <w:name w:val="附录章"/>
    <w:basedOn w:val="1"/>
    <w:next w:val="1"/>
    <w:qFormat/>
    <w:uiPriority w:val="0"/>
    <w:pPr>
      <w:numPr>
        <w:ilvl w:val="1"/>
        <w:numId w:val="18"/>
      </w:numPr>
      <w:adjustRightInd w:val="0"/>
      <w:spacing w:before="160" w:after="160" w:line="278" w:lineRule="auto"/>
      <w:outlineLvl w:val="0"/>
    </w:pPr>
    <w:rPr>
      <w:rFonts w:hint="eastAsia" w:ascii="黑体" w:eastAsia="黑体"/>
      <w:kern w:val="21"/>
      <w:szCs w:val="18"/>
    </w:rPr>
  </w:style>
  <w:style w:type="character" w:customStyle="1" w:styleId="140">
    <w:name w:val="一级条标题 Char"/>
    <w:link w:val="38"/>
    <w:qFormat/>
    <w:uiPriority w:val="0"/>
    <w:rPr>
      <w:rFonts w:ascii="黑体" w:eastAsia="黑体"/>
      <w:sz w:val="21"/>
      <w:szCs w:val="21"/>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79DF88-9519-4973-AD97-5B1D2D3F6BED}">
  <ds:schemaRefs/>
</ds:datastoreItem>
</file>

<file path=docProps/app.xml><?xml version="1.0" encoding="utf-8"?>
<Properties xmlns="http://schemas.openxmlformats.org/officeDocument/2006/extended-properties" xmlns:vt="http://schemas.openxmlformats.org/officeDocument/2006/docPropsVTypes">
  <Template>Normal.dotm</Template>
  <Pages>7</Pages>
  <Words>2430</Words>
  <Characters>1445</Characters>
  <Lines>12</Lines>
  <Paragraphs>7</Paragraphs>
  <TotalTime>509</TotalTime>
  <ScaleCrop>false</ScaleCrop>
  <LinksUpToDate>false</LinksUpToDate>
  <CharactersWithSpaces>3868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2024-12-05T03:27:00Z</dcterms:created>
  <dc:creator>CNIS</dc:creator>
  <cp:lastModifiedBy>李帮柱</cp:lastModifiedBy>
  <dcterms:modified xsi:type="dcterms:W3CDTF">2025-05-09T10:14:50Z</dcterms:modified>
  <dc:title>标准名称</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1C864CB4AFBB4E028096529A4F02BDF1</vt:lpwstr>
  </property>
</Properties>
</file>