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468" w:rsidRDefault="00BF6AFD">
      <w:pPr>
        <w:spacing w:line="300" w:lineRule="auto"/>
        <w:jc w:val="center"/>
        <w:rPr>
          <w:rFonts w:ascii="宋体" w:hAnsi="宋体" w:cs="宋体"/>
          <w:b/>
          <w:sz w:val="36"/>
          <w:szCs w:val="36"/>
        </w:rPr>
      </w:pPr>
      <w:r>
        <w:rPr>
          <w:rFonts w:ascii="宋体" w:hAnsi="宋体" w:cs="宋体" w:hint="eastAsia"/>
          <w:b/>
          <w:sz w:val="36"/>
          <w:szCs w:val="36"/>
        </w:rPr>
        <w:t>《工业氯化镁》行业标准编制说明</w:t>
      </w:r>
    </w:p>
    <w:p w:rsidR="000F0468" w:rsidRDefault="00BF6AFD">
      <w:pPr>
        <w:spacing w:line="300" w:lineRule="auto"/>
        <w:jc w:val="center"/>
        <w:rPr>
          <w:rFonts w:ascii="宋体" w:hAnsi="宋体" w:cs="宋体"/>
          <w:b/>
          <w:sz w:val="36"/>
          <w:szCs w:val="36"/>
        </w:rPr>
      </w:pPr>
      <w:r>
        <w:rPr>
          <w:rFonts w:ascii="宋体" w:hAnsi="宋体" w:cs="宋体" w:hint="eastAsia"/>
          <w:b/>
          <w:sz w:val="36"/>
          <w:szCs w:val="36"/>
        </w:rPr>
        <w:t>（征求意见稿）</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一、工作简况</w:t>
      </w:r>
    </w:p>
    <w:p w:rsidR="000F0468" w:rsidRDefault="00BF6AFD">
      <w:pPr>
        <w:spacing w:before="200" w:line="300" w:lineRule="auto"/>
        <w:rPr>
          <w:rFonts w:ascii="黑体" w:eastAsia="黑体" w:hAnsi="黑体" w:cs="黑体"/>
          <w:bCs/>
          <w:sz w:val="24"/>
          <w:szCs w:val="24"/>
        </w:rPr>
      </w:pPr>
      <w:r>
        <w:rPr>
          <w:rFonts w:ascii="黑体" w:eastAsia="黑体" w:hAnsi="黑体" w:cs="黑体" w:hint="eastAsia"/>
          <w:bCs/>
          <w:sz w:val="24"/>
          <w:szCs w:val="24"/>
        </w:rPr>
        <w:t>1 任务来源</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本项目是根据工业和信息化部行业标准制修订计划（工信厅科[2023]18号），计划编号为2023-0316T-QB，项目名称“工业氯化镁”进行修订，主要起草单位：国盐检测（天津）有限责任公司、中盐工程技术研究院有限公司、天津长芦汉沽盐场有限责任公司,计划完成时间2024年10月。</w:t>
      </w:r>
    </w:p>
    <w:p w:rsidR="000F0468" w:rsidRDefault="00BF6AFD">
      <w:pPr>
        <w:spacing w:before="240" w:line="300" w:lineRule="auto"/>
        <w:rPr>
          <w:rFonts w:ascii="黑体" w:eastAsia="黑体" w:hAnsi="黑体" w:cs="黑体"/>
          <w:bCs/>
          <w:sz w:val="24"/>
          <w:szCs w:val="24"/>
        </w:rPr>
      </w:pPr>
      <w:r>
        <w:rPr>
          <w:rFonts w:ascii="黑体" w:eastAsia="黑体" w:hAnsi="黑体" w:cs="黑体" w:hint="eastAsia"/>
          <w:bCs/>
          <w:sz w:val="24"/>
          <w:szCs w:val="24"/>
        </w:rPr>
        <w:t>2 主要工作过程</w:t>
      </w:r>
    </w:p>
    <w:p w:rsidR="000F0468" w:rsidRDefault="00BF6AFD">
      <w:pPr>
        <w:spacing w:before="240" w:line="300" w:lineRule="auto"/>
        <w:rPr>
          <w:rFonts w:ascii="宋体" w:hAnsi="宋体" w:cs="宋体"/>
          <w:b/>
          <w:sz w:val="24"/>
          <w:szCs w:val="24"/>
        </w:rPr>
      </w:pPr>
      <w:r>
        <w:rPr>
          <w:rFonts w:ascii="宋体" w:hAnsi="宋体" w:cs="宋体" w:hint="eastAsia"/>
          <w:b/>
          <w:sz w:val="24"/>
          <w:szCs w:val="24"/>
        </w:rPr>
        <w:t>2.1起草阶段</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标准起草任务下达后，起草单位迅速组织专家成立了标准起草工作组。工作组通过讨论，初步明确了标准起草进程安排和各起草单位分工。标准起草工作组成员查阅相关文献，与生产企业进行技术交流，充分了解了工业氯化镁的产品特点、生产工艺和发展动态。</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标准起草工作组对收集到的工业氯化镁的产品类型、生产工艺、指标要求、试验方法、包装、贮存等信息进行了归纳总结，对各项理化指标要求设定等难点问题进行了大量讨论，并充分征求了生产企业的意见和建议，形成了标准草案。</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为保证标准中新增无水氯化镁产品的理化指标要求的合理性，标准起草工作组对市场中无水氯化镁销售产品进行充分调研，并选取了具有代表性企业生产的产品进行分析检测，据此制定了无水氯化镁各项理化指标的要求。同时，为了保证标准中新增的试验方法的科学性、准确性，标准起草工作组对工业氯化镁使用的试验方法进行了大量验证实验。标准起草工作经过认真筛选和准确性验证，针对工业氯化镁的产品特点，建立了六价铬的试验分析方法。该方法采用分光光度法，便于生产企业进行分析检测。</w:t>
      </w:r>
    </w:p>
    <w:p w:rsidR="000F0468" w:rsidRDefault="00BF6AFD">
      <w:pPr>
        <w:spacing w:before="240" w:line="300" w:lineRule="auto"/>
        <w:rPr>
          <w:rFonts w:ascii="宋体" w:hAnsi="宋体" w:cs="宋体"/>
          <w:b/>
          <w:sz w:val="24"/>
          <w:szCs w:val="24"/>
        </w:rPr>
      </w:pPr>
      <w:r>
        <w:rPr>
          <w:rFonts w:ascii="宋体" w:hAnsi="宋体" w:cs="宋体" w:hint="eastAsia"/>
          <w:b/>
          <w:sz w:val="24"/>
          <w:szCs w:val="24"/>
        </w:rPr>
        <w:t>2.</w:t>
      </w:r>
      <w:r>
        <w:rPr>
          <w:rFonts w:ascii="宋体" w:hAnsi="宋体" w:cs="宋体"/>
          <w:b/>
          <w:sz w:val="24"/>
          <w:szCs w:val="24"/>
        </w:rPr>
        <w:t>2征求意见</w:t>
      </w:r>
      <w:r>
        <w:rPr>
          <w:rFonts w:ascii="宋体" w:hAnsi="宋体" w:cs="宋体" w:hint="eastAsia"/>
          <w:b/>
          <w:sz w:val="24"/>
          <w:szCs w:val="24"/>
        </w:rPr>
        <w:t xml:space="preserve">阶段 </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2025年5月，标准起草工作组对标准草案进行了进一步补充和完善，形成了《工业氯化镁》行业标准的征求意见稿，报全国盐业标准化技术委员会秘书处进行公开征求意见。</w:t>
      </w:r>
    </w:p>
    <w:p w:rsidR="00DF5A20" w:rsidRPr="009E6743" w:rsidRDefault="00DF5A20" w:rsidP="00DF5A20">
      <w:pPr>
        <w:spacing w:before="240"/>
        <w:rPr>
          <w:rFonts w:ascii="宋体" w:hAnsi="宋体"/>
          <w:b/>
          <w:sz w:val="24"/>
          <w:szCs w:val="28"/>
        </w:rPr>
      </w:pPr>
      <w:r w:rsidRPr="009E6743">
        <w:rPr>
          <w:rFonts w:ascii="宋体" w:hAnsi="宋体" w:hint="eastAsia"/>
          <w:b/>
          <w:sz w:val="24"/>
          <w:szCs w:val="28"/>
        </w:rPr>
        <w:t>2</w:t>
      </w:r>
      <w:r w:rsidRPr="009E6743">
        <w:rPr>
          <w:rFonts w:ascii="宋体" w:hAnsi="宋体"/>
          <w:b/>
          <w:sz w:val="24"/>
          <w:szCs w:val="28"/>
        </w:rPr>
        <w:t>.3主要</w:t>
      </w:r>
      <w:r w:rsidRPr="009E6743">
        <w:rPr>
          <w:rFonts w:ascii="宋体" w:hAnsi="宋体" w:hint="eastAsia"/>
          <w:b/>
          <w:sz w:val="24"/>
          <w:szCs w:val="28"/>
        </w:rPr>
        <w:t>参加</w:t>
      </w:r>
      <w:r w:rsidRPr="009E6743">
        <w:rPr>
          <w:rFonts w:ascii="宋体" w:hAnsi="宋体"/>
          <w:b/>
          <w:sz w:val="24"/>
          <w:szCs w:val="28"/>
        </w:rPr>
        <w:t>单位</w:t>
      </w:r>
    </w:p>
    <w:p w:rsidR="00DF5A20" w:rsidRPr="00DF5A20" w:rsidRDefault="00DF5A20" w:rsidP="00DF5A20">
      <w:pPr>
        <w:spacing w:before="240" w:line="400" w:lineRule="exact"/>
        <w:ind w:firstLineChars="200" w:firstLine="480"/>
        <w:rPr>
          <w:rFonts w:ascii="宋体" w:hAnsi="宋体" w:cs="宋体" w:hint="eastAsia"/>
          <w:szCs w:val="21"/>
        </w:rPr>
      </w:pPr>
      <w:r w:rsidRPr="009E6743">
        <w:rPr>
          <w:rFonts w:ascii="宋体" w:hAnsi="宋体" w:hint="eastAsia"/>
          <w:sz w:val="24"/>
          <w:szCs w:val="28"/>
        </w:rPr>
        <w:t>本标准由</w:t>
      </w:r>
      <w:r w:rsidRPr="00DF5A20">
        <w:rPr>
          <w:rFonts w:ascii="宋体" w:hAnsi="宋体" w:hint="eastAsia"/>
          <w:sz w:val="24"/>
          <w:szCs w:val="28"/>
        </w:rPr>
        <w:t>国盐检测（天津）有限责任公司、天津长芦海晶集团有限公司、山</w:t>
      </w:r>
      <w:r w:rsidRPr="00DF5A20">
        <w:rPr>
          <w:rFonts w:ascii="宋体" w:hAnsi="宋体" w:hint="eastAsia"/>
          <w:sz w:val="24"/>
          <w:szCs w:val="28"/>
        </w:rPr>
        <w:lastRenderedPageBreak/>
        <w:t>东海化集团有限公司、中盐工程技术研究院有限公司</w:t>
      </w:r>
      <w:r>
        <w:rPr>
          <w:rFonts w:ascii="宋体" w:hAnsi="宋体" w:hint="eastAsia"/>
          <w:sz w:val="24"/>
          <w:szCs w:val="28"/>
        </w:rPr>
        <w:t>共同起草</w:t>
      </w:r>
      <w:r w:rsidRPr="009E6743">
        <w:rPr>
          <w:rFonts w:ascii="宋体" w:hAnsi="宋体" w:hint="eastAsia"/>
          <w:sz w:val="24"/>
          <w:szCs w:val="28"/>
        </w:rPr>
        <w:t>。</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二、标准编制原则和主要内容</w:t>
      </w:r>
    </w:p>
    <w:p w:rsidR="000F0468" w:rsidRDefault="00BF6AFD">
      <w:pPr>
        <w:pStyle w:val="a"/>
        <w:spacing w:before="312" w:after="312"/>
        <w:rPr>
          <w:sz w:val="24"/>
          <w:szCs w:val="24"/>
        </w:rPr>
      </w:pPr>
      <w:r>
        <w:rPr>
          <w:rFonts w:hint="eastAsia"/>
          <w:sz w:val="24"/>
          <w:szCs w:val="24"/>
        </w:rPr>
        <w:t>标准编制原则</w:t>
      </w:r>
    </w:p>
    <w:p w:rsidR="000F0468" w:rsidRDefault="00BF6AFD">
      <w:pPr>
        <w:spacing w:before="200" w:line="300" w:lineRule="auto"/>
        <w:ind w:firstLineChars="197" w:firstLine="414"/>
        <w:rPr>
          <w:rFonts w:ascii="宋体" w:hAnsi="宋体" w:cs="宋体"/>
          <w:b/>
          <w:kern w:val="0"/>
          <w:szCs w:val="21"/>
        </w:rPr>
      </w:pPr>
      <w:r>
        <w:rPr>
          <w:rFonts w:ascii="宋体" w:hAnsi="宋体" w:cs="宋体" w:hint="eastAsia"/>
          <w:kern w:val="0"/>
          <w:szCs w:val="21"/>
        </w:rPr>
        <w:t>本标准的修订符合产业发展的需要，充分考虑了产业发展现状、趋势及产品生产和使用双方的要求，本着先进性、科学性、合理性和可操作性的原则修订了本标准。</w:t>
      </w:r>
      <w:r>
        <w:rPr>
          <w:rFonts w:ascii="宋体" w:hAnsi="宋体" w:cs="宋体" w:hint="eastAsia"/>
          <w:szCs w:val="21"/>
        </w:rPr>
        <w:t>在本标准的编写结构和内容编排等方面依据“标准化工作导则、指南和编写规则”系列标准的要求，进行了编写。</w:t>
      </w:r>
    </w:p>
    <w:p w:rsidR="000F0468" w:rsidRDefault="00BF6AFD">
      <w:pPr>
        <w:pStyle w:val="a"/>
        <w:spacing w:before="312" w:after="312"/>
        <w:rPr>
          <w:sz w:val="24"/>
          <w:szCs w:val="24"/>
        </w:rPr>
      </w:pPr>
      <w:r>
        <w:rPr>
          <w:rFonts w:hint="eastAsia"/>
          <w:sz w:val="24"/>
          <w:szCs w:val="24"/>
        </w:rPr>
        <w:t>标准主要内容</w:t>
      </w:r>
    </w:p>
    <w:p w:rsidR="000F0468" w:rsidRDefault="00BF6AFD">
      <w:pPr>
        <w:pStyle w:val="a0"/>
        <w:spacing w:before="156" w:after="156"/>
      </w:pPr>
      <w:r>
        <w:rPr>
          <w:rFonts w:hint="eastAsia"/>
        </w:rPr>
        <w:t>范围</w:t>
      </w:r>
    </w:p>
    <w:p w:rsidR="00417656" w:rsidRPr="00417656" w:rsidRDefault="00503930" w:rsidP="00417656">
      <w:pPr>
        <w:shd w:val="clear" w:color="auto" w:fill="FFFFFF"/>
        <w:spacing w:before="200" w:line="300" w:lineRule="auto"/>
        <w:ind w:firstLineChars="200" w:firstLine="420"/>
        <w:jc w:val="left"/>
        <w:textAlignment w:val="top"/>
        <w:rPr>
          <w:rFonts w:ascii="宋体" w:hAnsi="宋体" w:cs="宋体"/>
          <w:kern w:val="0"/>
          <w:szCs w:val="21"/>
        </w:rPr>
      </w:pPr>
      <w:r>
        <w:rPr>
          <w:rFonts w:ascii="宋体" w:hAnsi="宋体" w:cs="宋体" w:hint="eastAsia"/>
          <w:kern w:val="0"/>
          <w:szCs w:val="21"/>
        </w:rPr>
        <w:t>本标准</w:t>
      </w:r>
      <w:r w:rsidR="00417656" w:rsidRPr="00417656">
        <w:rPr>
          <w:rFonts w:ascii="宋体" w:hAnsi="宋体" w:cs="宋体" w:hint="eastAsia"/>
          <w:kern w:val="0"/>
          <w:szCs w:val="21"/>
        </w:rPr>
        <w:t>规定了工业氯化镁的要求、试验方法、检验规则和标志、包装、运输、贮存。</w:t>
      </w:r>
    </w:p>
    <w:p w:rsidR="000F0468" w:rsidRDefault="00417656" w:rsidP="00417656">
      <w:pPr>
        <w:shd w:val="clear" w:color="auto" w:fill="FFFFFF"/>
        <w:spacing w:before="200" w:line="300" w:lineRule="auto"/>
        <w:ind w:firstLineChars="200" w:firstLine="420"/>
        <w:jc w:val="left"/>
        <w:textAlignment w:val="top"/>
        <w:rPr>
          <w:rFonts w:ascii="宋体" w:hAnsi="宋体" w:cs="宋体"/>
          <w:kern w:val="0"/>
          <w:szCs w:val="21"/>
        </w:rPr>
      </w:pPr>
      <w:r w:rsidRPr="00417656">
        <w:rPr>
          <w:rFonts w:ascii="宋体" w:hAnsi="宋体" w:cs="宋体" w:hint="eastAsia"/>
          <w:kern w:val="0"/>
          <w:szCs w:val="21"/>
        </w:rPr>
        <w:t>本</w:t>
      </w:r>
      <w:r w:rsidR="00503930">
        <w:rPr>
          <w:rFonts w:ascii="宋体" w:hAnsi="宋体" w:cs="宋体" w:hint="eastAsia"/>
          <w:kern w:val="0"/>
          <w:szCs w:val="21"/>
        </w:rPr>
        <w:t>标准</w:t>
      </w:r>
      <w:bookmarkStart w:id="0" w:name="_GoBack"/>
      <w:bookmarkEnd w:id="0"/>
      <w:r w:rsidRPr="00417656">
        <w:rPr>
          <w:rFonts w:ascii="宋体" w:hAnsi="宋体" w:cs="宋体" w:hint="eastAsia"/>
          <w:kern w:val="0"/>
          <w:szCs w:val="21"/>
        </w:rPr>
        <w:t>适用于以制盐母液、水氯镁石、菱镁矿等含镁矿石为原料经加工制成的工业氯化镁。</w:t>
      </w:r>
    </w:p>
    <w:p w:rsidR="000F0468" w:rsidRDefault="00BF6AFD">
      <w:pPr>
        <w:pStyle w:val="a0"/>
        <w:spacing w:before="156" w:after="156"/>
        <w:rPr>
          <w:rFonts w:ascii="宋体" w:eastAsia="宋体" w:hAnsi="宋体" w:cs="宋体"/>
          <w:b/>
        </w:rPr>
      </w:pPr>
      <w:r>
        <w:rPr>
          <w:rFonts w:ascii="宋体" w:eastAsia="宋体" w:hAnsi="宋体" w:cs="宋体" w:hint="eastAsia"/>
          <w:b/>
        </w:rPr>
        <w:t>要求</w:t>
      </w:r>
    </w:p>
    <w:p w:rsidR="000F0468" w:rsidRDefault="00BF6AFD">
      <w:pPr>
        <w:spacing w:before="240" w:line="300" w:lineRule="auto"/>
        <w:ind w:firstLineChars="200" w:firstLine="420"/>
        <w:rPr>
          <w:rFonts w:ascii="宋体" w:hAnsi="宋体" w:cs="宋体"/>
          <w:kern w:val="0"/>
          <w:szCs w:val="21"/>
        </w:rPr>
      </w:pPr>
      <w:r>
        <w:rPr>
          <w:rFonts w:ascii="宋体" w:hAnsi="宋体" w:cs="宋体" w:hint="eastAsia"/>
          <w:kern w:val="0"/>
          <w:szCs w:val="21"/>
        </w:rPr>
        <w:t>本标准对工业氯化镁的感官、理化指标、试验方法、检验规则、标签及标志、包装、运输、贮存进行了规定。</w:t>
      </w:r>
    </w:p>
    <w:p w:rsidR="000F0468" w:rsidRDefault="00BF6AFD">
      <w:pPr>
        <w:spacing w:before="240" w:line="300" w:lineRule="auto"/>
        <w:rPr>
          <w:rFonts w:ascii="宋体" w:hAnsi="宋体" w:cs="宋体"/>
          <w:b/>
          <w:bCs/>
          <w:kern w:val="0"/>
          <w:szCs w:val="21"/>
        </w:rPr>
      </w:pPr>
      <w:r>
        <w:rPr>
          <w:rFonts w:ascii="宋体" w:hAnsi="宋体" w:cs="宋体" w:hint="eastAsia"/>
          <w:b/>
          <w:bCs/>
          <w:kern w:val="0"/>
          <w:szCs w:val="21"/>
        </w:rPr>
        <w:t>2.</w:t>
      </w:r>
      <w:r w:rsidR="00417656">
        <w:rPr>
          <w:rFonts w:ascii="宋体" w:hAnsi="宋体" w:cs="宋体"/>
          <w:b/>
          <w:bCs/>
          <w:kern w:val="0"/>
          <w:szCs w:val="21"/>
        </w:rPr>
        <w:t>2</w:t>
      </w:r>
      <w:r>
        <w:rPr>
          <w:rFonts w:ascii="宋体" w:hAnsi="宋体" w:cs="宋体" w:hint="eastAsia"/>
          <w:b/>
          <w:bCs/>
          <w:kern w:val="0"/>
          <w:szCs w:val="21"/>
        </w:rPr>
        <w:t>.1 感官要求</w:t>
      </w:r>
    </w:p>
    <w:p w:rsidR="000F0468" w:rsidRDefault="00BF6AFD">
      <w:pPr>
        <w:spacing w:before="200" w:line="300" w:lineRule="auto"/>
        <w:ind w:firstLineChars="200" w:firstLine="420"/>
        <w:rPr>
          <w:rFonts w:ascii="宋体" w:hAnsi="宋体" w:cs="宋体"/>
          <w:kern w:val="0"/>
          <w:szCs w:val="21"/>
        </w:rPr>
      </w:pPr>
      <w:bookmarkStart w:id="1" w:name="_Hlk69043768"/>
      <w:r>
        <w:rPr>
          <w:rFonts w:ascii="宋体" w:hAnsi="宋体" w:cs="宋体" w:hint="eastAsia"/>
          <w:szCs w:val="21"/>
        </w:rPr>
        <w:t>本标准在保留QB/T 2605-2003《工业氯化镁》中感官要求</w:t>
      </w:r>
      <w:bookmarkEnd w:id="1"/>
      <w:r>
        <w:rPr>
          <w:rFonts w:ascii="宋体" w:hAnsi="宋体" w:cs="宋体" w:hint="eastAsia"/>
          <w:szCs w:val="21"/>
        </w:rPr>
        <w:t>的基础上做了补充，要求感官为：</w:t>
      </w:r>
      <w:r>
        <w:rPr>
          <w:rFonts w:ascii="仿宋_GB2312" w:hAnsi="宋体" w:cs="仿宋_GB2312" w:hint="eastAsia"/>
          <w:szCs w:val="32"/>
        </w:rPr>
        <w:t>工业氯化镁有片状、粒状或粉状，无水氯化镁和白色氯化镁呈白色，普通氯化镁有黄褐色、深灰色、浅棕色，易吸潮，有轻度卤味</w:t>
      </w:r>
      <w:r>
        <w:rPr>
          <w:rFonts w:hAnsi="宋体" w:hint="eastAsia"/>
        </w:rPr>
        <w:t>。</w:t>
      </w:r>
    </w:p>
    <w:p w:rsidR="000F0468" w:rsidRDefault="00BF6AFD">
      <w:pPr>
        <w:spacing w:before="240" w:line="300" w:lineRule="auto"/>
        <w:rPr>
          <w:rFonts w:ascii="宋体" w:hAnsi="宋体" w:cs="宋体"/>
          <w:b/>
          <w:bCs/>
          <w:kern w:val="0"/>
          <w:szCs w:val="21"/>
        </w:rPr>
      </w:pPr>
      <w:r>
        <w:rPr>
          <w:rFonts w:ascii="宋体" w:hAnsi="宋体" w:cs="宋体" w:hint="eastAsia"/>
          <w:b/>
          <w:bCs/>
          <w:kern w:val="0"/>
          <w:szCs w:val="21"/>
        </w:rPr>
        <w:t>2.</w:t>
      </w:r>
      <w:r w:rsidR="00417656">
        <w:rPr>
          <w:rFonts w:ascii="宋体" w:hAnsi="宋体" w:cs="宋体"/>
          <w:b/>
          <w:bCs/>
          <w:kern w:val="0"/>
          <w:szCs w:val="21"/>
        </w:rPr>
        <w:t>2</w:t>
      </w:r>
      <w:r>
        <w:rPr>
          <w:rFonts w:ascii="宋体" w:hAnsi="宋体" w:cs="宋体" w:hint="eastAsia"/>
          <w:b/>
          <w:bCs/>
          <w:kern w:val="0"/>
          <w:szCs w:val="21"/>
        </w:rPr>
        <w:t>.2 理化指标要求</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本标准延续了QB/T 2605-2003《工业氯化镁》中要求检测氯化镁、钙、硫酸根、碱金属氯化物、水不溶物、色度理化指标项目的规定，并依据产品质量检测结果对相应指标进行了调整：六水氯化镁中的白色氯化镁指标为：氯化镁（以MgCl2计）含量要求不得低于46.1%，钙（以Ca</w:t>
      </w:r>
      <w:r>
        <w:rPr>
          <w:rFonts w:ascii="宋体" w:hAnsi="宋体" w:cs="宋体" w:hint="eastAsia"/>
          <w:szCs w:val="21"/>
          <w:vertAlign w:val="superscript"/>
        </w:rPr>
        <w:t>2+</w:t>
      </w:r>
      <w:r>
        <w:rPr>
          <w:rFonts w:ascii="宋体" w:hAnsi="宋体" w:cs="宋体" w:hint="eastAsia"/>
          <w:szCs w:val="21"/>
        </w:rPr>
        <w:t>计）含量不得高于0.14%，硫酸根（以SO4</w:t>
      </w:r>
      <w:r>
        <w:rPr>
          <w:rFonts w:ascii="宋体" w:hAnsi="宋体" w:cs="宋体" w:hint="eastAsia"/>
          <w:szCs w:val="21"/>
          <w:vertAlign w:val="superscript"/>
        </w:rPr>
        <w:t>2-</w:t>
      </w:r>
      <w:r>
        <w:rPr>
          <w:rFonts w:ascii="宋体" w:hAnsi="宋体" w:cs="宋体" w:hint="eastAsia"/>
          <w:szCs w:val="21"/>
        </w:rPr>
        <w:t>计）含量不得高于0.80%，碱金属氯化物（以Cl</w:t>
      </w:r>
      <w:r>
        <w:rPr>
          <w:rFonts w:ascii="宋体" w:hAnsi="宋体" w:cs="宋体" w:hint="eastAsia"/>
          <w:szCs w:val="21"/>
          <w:vertAlign w:val="superscript"/>
        </w:rPr>
        <w:t>-</w:t>
      </w:r>
      <w:r>
        <w:rPr>
          <w:rFonts w:ascii="宋体" w:hAnsi="宋体" w:cs="宋体" w:hint="eastAsia"/>
          <w:szCs w:val="21"/>
        </w:rPr>
        <w:t>计）含量不得高于0.45%。调整普通氯化镁指标为：氯化镁（以MgCl</w:t>
      </w:r>
      <w:r>
        <w:rPr>
          <w:rFonts w:ascii="宋体" w:hAnsi="宋体" w:cs="宋体" w:hint="eastAsia"/>
          <w:szCs w:val="21"/>
          <w:vertAlign w:val="subscript"/>
        </w:rPr>
        <w:t>2</w:t>
      </w:r>
      <w:r>
        <w:rPr>
          <w:rFonts w:ascii="宋体" w:hAnsi="宋体" w:cs="宋体" w:hint="eastAsia"/>
          <w:szCs w:val="21"/>
        </w:rPr>
        <w:t>计）含量要求不得低于44.8%，硫酸根（以SO4</w:t>
      </w:r>
      <w:r>
        <w:rPr>
          <w:rFonts w:ascii="宋体" w:hAnsi="宋体" w:cs="宋体" w:hint="eastAsia"/>
          <w:szCs w:val="21"/>
          <w:vertAlign w:val="superscript"/>
        </w:rPr>
        <w:t>2-</w:t>
      </w:r>
      <w:r>
        <w:rPr>
          <w:rFonts w:ascii="宋体" w:hAnsi="宋体" w:cs="宋体" w:hint="eastAsia"/>
          <w:szCs w:val="21"/>
        </w:rPr>
        <w:t>计）含量不得高于2.70%，碱金属氯化物（以Cl</w:t>
      </w:r>
      <w:r>
        <w:rPr>
          <w:rFonts w:ascii="宋体" w:hAnsi="宋体" w:cs="宋体" w:hint="eastAsia"/>
          <w:szCs w:val="21"/>
          <w:vertAlign w:val="superscript"/>
        </w:rPr>
        <w:t>-</w:t>
      </w:r>
      <w:r>
        <w:rPr>
          <w:rFonts w:ascii="宋体" w:hAnsi="宋体" w:cs="宋体" w:hint="eastAsia"/>
          <w:szCs w:val="21"/>
        </w:rPr>
        <w:t>计）含量不得高于0.80%。</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lastRenderedPageBreak/>
        <w:t>本次修订增加了无水氯化镁的产品类别，相应增加了无水氯化镁理化指标要求，根据市场流通产品情况以及不同企业生产的产品质量情况对氯化镁（以MgCl</w:t>
      </w:r>
      <w:r>
        <w:rPr>
          <w:rFonts w:ascii="宋体" w:hAnsi="宋体" w:cs="宋体" w:hint="eastAsia"/>
          <w:szCs w:val="21"/>
          <w:vertAlign w:val="subscript"/>
        </w:rPr>
        <w:t>2</w:t>
      </w:r>
      <w:r>
        <w:rPr>
          <w:rFonts w:ascii="宋体" w:hAnsi="宋体" w:cs="宋体" w:hint="eastAsia"/>
          <w:szCs w:val="21"/>
        </w:rPr>
        <w:t>计）含量要求不得低于95%；钙（以Ca</w:t>
      </w:r>
      <w:r>
        <w:rPr>
          <w:rFonts w:ascii="宋体" w:hAnsi="宋体" w:cs="宋体" w:hint="eastAsia"/>
          <w:szCs w:val="21"/>
          <w:vertAlign w:val="superscript"/>
        </w:rPr>
        <w:t>2+</w:t>
      </w:r>
      <w:r>
        <w:rPr>
          <w:rFonts w:ascii="宋体" w:hAnsi="宋体" w:cs="宋体" w:hint="eastAsia"/>
          <w:szCs w:val="21"/>
        </w:rPr>
        <w:t>计）含量不得高于0.12%；硫酸根（以SO</w:t>
      </w:r>
      <w:r>
        <w:rPr>
          <w:rFonts w:ascii="宋体" w:hAnsi="宋体" w:cs="宋体" w:hint="eastAsia"/>
          <w:szCs w:val="21"/>
          <w:vertAlign w:val="subscript"/>
        </w:rPr>
        <w:t>4</w:t>
      </w:r>
      <w:r>
        <w:rPr>
          <w:rFonts w:ascii="宋体" w:hAnsi="宋体" w:cs="宋体" w:hint="eastAsia"/>
          <w:szCs w:val="21"/>
          <w:vertAlign w:val="superscript"/>
        </w:rPr>
        <w:t>2-</w:t>
      </w:r>
      <w:r>
        <w:rPr>
          <w:rFonts w:ascii="宋体" w:hAnsi="宋体" w:cs="宋体" w:hint="eastAsia"/>
          <w:szCs w:val="21"/>
        </w:rPr>
        <w:t>计）含量不得高于0.50%；碱金属氯化物（以Cl</w:t>
      </w:r>
      <w:r>
        <w:rPr>
          <w:rFonts w:ascii="宋体" w:hAnsi="宋体" w:cs="宋体" w:hint="eastAsia"/>
          <w:szCs w:val="21"/>
          <w:vertAlign w:val="superscript"/>
        </w:rPr>
        <w:t>-</w:t>
      </w:r>
      <w:r>
        <w:rPr>
          <w:rFonts w:ascii="宋体" w:hAnsi="宋体" w:cs="宋体" w:hint="eastAsia"/>
          <w:szCs w:val="21"/>
        </w:rPr>
        <w:t>计）含量不得高于0.50%；水不溶物含量不得高于0.10%；色度不得高于50度。</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此外，本次修订对工业氯化镁增加了铅、六价铬的指标要求，要求铅含量不得大于5mg/kg；六价铬含量不得大于2mg/kg。</w:t>
      </w:r>
    </w:p>
    <w:p w:rsidR="000F0468" w:rsidRDefault="00BF6AFD">
      <w:pPr>
        <w:pStyle w:val="a0"/>
        <w:spacing w:before="156" w:after="156"/>
      </w:pPr>
      <w:r>
        <w:rPr>
          <w:rFonts w:hint="eastAsia"/>
        </w:rPr>
        <w:t>试验方法</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本标准规定了各个指标相应的试验方法，与原来标准相比，补充了感官的试验方法，更改了镁、钙、色度的试验方法，增加了铅、六价铬的试验方法，具体试验验证过程见“三主要试验（或验证）情况。</w:t>
      </w:r>
    </w:p>
    <w:p w:rsidR="000F0468" w:rsidRDefault="00BF6AFD">
      <w:pPr>
        <w:pStyle w:val="a0"/>
        <w:spacing w:before="156" w:after="156"/>
      </w:pPr>
      <w:r>
        <w:rPr>
          <w:rFonts w:hint="eastAsia"/>
        </w:rPr>
        <w:t>检验规则、标</w:t>
      </w:r>
      <w:r>
        <w:t>签</w:t>
      </w:r>
      <w:r>
        <w:rPr>
          <w:rFonts w:hint="eastAsia"/>
        </w:rPr>
        <w:t>及</w:t>
      </w:r>
      <w:r>
        <w:t>标</w:t>
      </w:r>
      <w:r>
        <w:rPr>
          <w:rFonts w:hint="eastAsia"/>
        </w:rPr>
        <w:t>志、包装、运输、贮存</w:t>
      </w:r>
    </w:p>
    <w:p w:rsidR="000F0468" w:rsidRDefault="00BF6AFD">
      <w:pPr>
        <w:spacing w:before="200" w:line="300" w:lineRule="auto"/>
        <w:ind w:firstLineChars="200" w:firstLine="420"/>
        <w:rPr>
          <w:color w:val="FF0000"/>
          <w:highlight w:val="yellow"/>
        </w:rPr>
      </w:pPr>
      <w:r>
        <w:rPr>
          <w:rFonts w:ascii="宋体" w:hAnsi="宋体" w:cs="宋体" w:hint="eastAsia"/>
          <w:szCs w:val="21"/>
        </w:rPr>
        <w:t>本标准基本延续了QB/T 2605-2003《工业氯化镁》中相关的规定，更改了判定规则的表述，明确了检验结果合格和不合格两种情况的处理方式；更改了标签标志要求。</w:t>
      </w:r>
    </w:p>
    <w:p w:rsidR="000F0468" w:rsidRDefault="00BF6AFD">
      <w:pPr>
        <w:pStyle w:val="a"/>
        <w:spacing w:before="312" w:after="312"/>
        <w:rPr>
          <w:rFonts w:hAnsi="黑体" w:cs="黑体"/>
          <w:bCs/>
          <w:sz w:val="24"/>
          <w:szCs w:val="24"/>
        </w:rPr>
      </w:pPr>
      <w:r>
        <w:rPr>
          <w:rFonts w:hAnsi="黑体" w:cs="黑体" w:hint="eastAsia"/>
          <w:bCs/>
          <w:sz w:val="24"/>
          <w:szCs w:val="24"/>
        </w:rPr>
        <w:t>解决的主要问题</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工业氯化镁从化学形态上分为六水氯化镁和无水氯化镁。而原版QB/T 2605—2003《工业氯化镁》范围仅涵盖了以制盐母液或天然氯化镁为原料，经加工制成的六水氯化镁，未涵盖无水氯化镁。据调研，无水氯化镁（MgCl₂）作为一种关键的化工原料，其市场重要性体现在多个核心领域，用途十分广泛。它是电解法制备金属镁的核心原料，作为原料生产的氯氧镁水泥，广泛用于建筑行业，在交通行业它用作道路化冰融雪剂，在医药行业，用氯化镁制成“卤干”可作药用，在农业领域可用做制镁肥，钾镁肥和棉花脱叶剂。近些年，随着新能源汽车和电子行业的快速发展，高纯度的无水氯化镁需求大量增加，它应用在锂电池上，用于改善电解液离子传导性。</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QB/T 2605-2003是目前行业唯一的工业氯化镁标准，在规范市场秩序、监管产品质量、解决产品质量纠纷等方面发挥巨大作用。但因QB/T 2605-2003《工业氯化镁》标准没有涵盖无水氯化镁产品。导致工业无水氯化镁缺乏统一的技术指标，许多生产企业生产的产品无据可依，市面上产品质量指标差异大，存在以次充好现象，正规生产企业的合法权益得不到保护。</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此外，原标准已有21年的标龄。与2003年标准修订时相比，我国氯化镁生产技术不断进步，产品质量有了很大提升，同时，市场需求的变化也对行业标准提出了更高的要求，而QB/T 2605-2003《工业氯化镁》标准中的一些指标要求已不符合当前生产实际，且无法满足</w:t>
      </w:r>
      <w:r>
        <w:rPr>
          <w:rFonts w:ascii="宋体" w:hAnsi="宋体" w:cs="宋体" w:hint="eastAsia"/>
          <w:szCs w:val="21"/>
        </w:rPr>
        <w:lastRenderedPageBreak/>
        <w:t>氯化镁用户对产品质量的要求，需要重新对指标进行修正。</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因此，为了解决上述问题，标准中新增了无水氯化镁类别，并对原有标准中的指标要求进行了重新修正，使得无水氯化镁产品有据可依，也使得QB/T 2605标准更符合当前生产实际和质量监管要求，进一步规范了工业氯化镁生产企业行为，保障了产品质量，使流通、销售环节更加顺畅，更对工业氯化镁产业健康快速发展起到积极促进作用。</w:t>
      </w:r>
    </w:p>
    <w:p w:rsidR="000F0468" w:rsidRDefault="00BF6AFD">
      <w:pPr>
        <w:spacing w:before="240" w:line="300" w:lineRule="auto"/>
        <w:rPr>
          <w:rFonts w:ascii="黑体" w:eastAsia="黑体" w:hAnsi="黑体" w:cs="黑体"/>
          <w:bCs/>
          <w:sz w:val="24"/>
          <w:szCs w:val="24"/>
        </w:rPr>
      </w:pPr>
      <w:r>
        <w:rPr>
          <w:rFonts w:ascii="黑体" w:eastAsia="黑体" w:hAnsi="黑体" w:cs="黑体" w:hint="eastAsia"/>
          <w:bCs/>
          <w:sz w:val="24"/>
          <w:szCs w:val="24"/>
        </w:rPr>
        <w:t>4 修订前后标准差异</w:t>
      </w:r>
    </w:p>
    <w:p w:rsidR="000F0468" w:rsidRDefault="00BF6AFD">
      <w:pPr>
        <w:spacing w:before="100" w:line="300" w:lineRule="auto"/>
        <w:ind w:firstLineChars="200" w:firstLine="420"/>
        <w:rPr>
          <w:rFonts w:ascii="宋体" w:hAnsi="宋体" w:cs="宋体"/>
          <w:szCs w:val="21"/>
        </w:rPr>
      </w:pPr>
      <w:r>
        <w:rPr>
          <w:rFonts w:ascii="宋体" w:hAnsi="宋体" w:cs="宋体" w:hint="eastAsia"/>
          <w:szCs w:val="21"/>
        </w:rPr>
        <w:t>与QB/T 2605-2003相比，除结构调整和编辑性改动外，本标准的主要技术变化如下：</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4.1 增加了无水氯化镁类别</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工业氯化镁从化学形态上分为六水氯化镁和无水氯化镁。而原版QB/T 2605—2003《工业氯化镁》范围仅涵盖了以制盐母液或天然氯化镁为原料，经加工制成的六水氯化镁.据调研，无水氯化镁（MgCl</w:t>
      </w:r>
      <w:r>
        <w:rPr>
          <w:rFonts w:ascii="宋体" w:hAnsi="宋体" w:cs="宋体" w:hint="eastAsia"/>
          <w:sz w:val="15"/>
          <w:szCs w:val="15"/>
        </w:rPr>
        <w:t>2</w:t>
      </w:r>
      <w:r>
        <w:rPr>
          <w:rFonts w:ascii="宋体" w:hAnsi="宋体" w:cs="宋体" w:hint="eastAsia"/>
          <w:szCs w:val="21"/>
        </w:rPr>
        <w:t>)作为一种关键的化工原料，其市场重要性体现在多个核心领域，用途十分广泛。首先，它是电解法制备金属镁的核心原料，金属镁广泛应用于航空航天（减重材料）、汽车轻量化（镁合金轮毂）、3C电子产品（超薄机身）等领域，全球年需求量超100万吨，带动氯化镁需求超380万吨/年；其次，它作为原料生产的氯氧镁水泥，广泛用于建筑行业；再次，在交通行业它用作道路化冰融雪剂，在医药行业，用氯化镁制成“卤干”可作药用，在农业领域可用做制镁肥，钾镁肥和棉花脱叶剂。近些年，随着新能源汽车和电子行业的快速发展，高纯度的无水氯化镁需求大量增加，它应用在锂电池上，用于改善电解液离子传导性。</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但无水氯化镁行业标准的长期的缺失，导致工业无水氯化镁缺乏统一的技术指标，许多生产企业生产的产品无据可依，市面上产品质量指标差异大，低价竞争导致低端产能过剩，高端产品如高纯度的无水氯化镁仍需依赖进口。</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因此，为了填补工业无水氯化镁产品行业标准空白，使得产品有据可依，进而提高无水氯化镁的产品质量，避免以次充好，保护正规生产企业的合法权益，规范市场秩序，促进产业升级。本次修订拟增加无水氯化镁产品类别。</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4.2 更改了范围</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工业氯化镁的生产原料不仅可以从海水、盐湖卤水、天然氯化镁‌（主要指水氯镁石一类的天然矿物）中得到，也可以从碳酸镁矿物如菱镁矿、光卤石中获得。原料经生产加工制成六水氯化镁和无水氯化镁。</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而原版QB/T 2605—2003《工业氯化镁》范围仅涵盖了以制盐母液或天然氯化镁为原料，经加工制成的六水氯化镁，原料未包含碳酸镁矿物且未涵盖无水氯化镁。因此，本次修订更</w:t>
      </w:r>
      <w:r>
        <w:rPr>
          <w:rFonts w:ascii="宋体" w:hAnsi="宋体" w:cs="宋体" w:hint="eastAsia"/>
          <w:szCs w:val="21"/>
        </w:rPr>
        <w:lastRenderedPageBreak/>
        <w:t>改了范围，修改标准文本中相应的描述为：“本文件适用于以</w:t>
      </w:r>
      <w:r>
        <w:rPr>
          <w:rFonts w:ascii="Times New Roman" w:hint="eastAsia"/>
          <w:szCs w:val="21"/>
        </w:rPr>
        <w:t>制盐母液、</w:t>
      </w:r>
      <w:r>
        <w:rPr>
          <w:rFonts w:ascii="宋体" w:hAnsi="宋体" w:cs="宋体" w:hint="eastAsia"/>
          <w:szCs w:val="21"/>
        </w:rPr>
        <w:t>水氯镁石、菱镁矿等含镁矿石为原料经加工制成的工业氯化镁，不包括工业副产品氯化镁”。因为工业副产品氯化镁有可能由于具有腐蚀性或重金属含量超标而被列入危险废物。</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4.3 修改了规范性引用文件</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按照标准文件中引用标准的先后顺序重新排列，GB/T 8618-2001 《制盐工业主要产品取样方法》已废止，进行了更新；增加了GB/T 13025.9 《制盐工业通用试验方法 铅的测定》方法标准的引用。</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w:t>
      </w:r>
      <w:r w:rsidR="00417656">
        <w:rPr>
          <w:rFonts w:ascii="宋体" w:hAnsi="宋体" w:cs="宋体"/>
          <w:b/>
          <w:bCs/>
          <w:szCs w:val="21"/>
        </w:rPr>
        <w:t>4</w:t>
      </w:r>
      <w:r>
        <w:rPr>
          <w:rFonts w:ascii="宋体" w:hAnsi="宋体" w:cs="宋体" w:hint="eastAsia"/>
          <w:b/>
          <w:bCs/>
          <w:szCs w:val="21"/>
        </w:rPr>
        <w:t xml:space="preserve"> 更改了分类</w:t>
      </w:r>
    </w:p>
    <w:p w:rsidR="000F0468" w:rsidRDefault="00BF6AFD">
      <w:pPr>
        <w:spacing w:before="200" w:line="300" w:lineRule="auto"/>
        <w:ind w:firstLineChars="200" w:firstLine="420"/>
      </w:pPr>
      <w:r>
        <w:rPr>
          <w:rFonts w:ascii="宋体" w:hAnsi="宋体" w:cs="宋体" w:hint="eastAsia"/>
          <w:szCs w:val="21"/>
        </w:rPr>
        <w:t>分类中去掉原版本中关于外观片状、粒状的描述，原因片状、粒状属于物理形态的描述，该组织具体形态要求列入感官指标中。将分类按照化学形态明确划分为：</w:t>
      </w:r>
      <w:r>
        <w:t>无水氯化镁和六水氯化镁</w:t>
      </w:r>
      <w:r>
        <w:rPr>
          <w:rFonts w:hint="eastAsia"/>
        </w:rPr>
        <w:t>两类。其中六水氯化镁保留原标准按照颜色的分类，分为</w:t>
      </w:r>
      <w:r>
        <w:t>白色氯化镁和普通氯化镁</w:t>
      </w:r>
      <w:r>
        <w:rPr>
          <w:rFonts w:hint="eastAsia"/>
        </w:rPr>
        <w:t>。</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w:t>
      </w:r>
      <w:r w:rsidR="00417656">
        <w:rPr>
          <w:rFonts w:ascii="宋体" w:hAnsi="宋体" w:cs="宋体"/>
          <w:b/>
          <w:bCs/>
          <w:szCs w:val="21"/>
        </w:rPr>
        <w:t>5</w:t>
      </w:r>
      <w:r>
        <w:rPr>
          <w:rFonts w:ascii="宋体" w:hAnsi="宋体" w:cs="宋体" w:hint="eastAsia"/>
          <w:b/>
          <w:bCs/>
          <w:szCs w:val="21"/>
        </w:rPr>
        <w:t xml:space="preserve"> 增加了感官指标要求</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由于市面销售的工业氯化镁物理形态不仅有片状、粒状，还有粉状，因此增加了粉状的要求。同时，增加了无水氯化镁颜色的要求，保留原标准关于白色氯化镁和普通氯化镁的描述。</w:t>
      </w:r>
    </w:p>
    <w:p w:rsidR="000F0468" w:rsidRDefault="00BF6AFD" w:rsidP="00417656">
      <w:pPr>
        <w:spacing w:before="200" w:line="300" w:lineRule="auto"/>
        <w:rPr>
          <w:rFonts w:ascii="宋体" w:hAnsi="宋体" w:cs="宋体"/>
          <w:b/>
          <w:bCs/>
          <w:szCs w:val="21"/>
          <w:highlight w:val="yellow"/>
        </w:rPr>
      </w:pPr>
      <w:r>
        <w:rPr>
          <w:rFonts w:ascii="宋体" w:hAnsi="宋体" w:cs="宋体" w:hint="eastAsia"/>
          <w:b/>
          <w:bCs/>
          <w:szCs w:val="21"/>
        </w:rPr>
        <w:t>4.</w:t>
      </w:r>
      <w:r w:rsidR="00417656">
        <w:rPr>
          <w:rFonts w:ascii="宋体" w:hAnsi="宋体" w:cs="宋体"/>
          <w:b/>
          <w:bCs/>
          <w:szCs w:val="21"/>
        </w:rPr>
        <w:t>6</w:t>
      </w:r>
      <w:r>
        <w:rPr>
          <w:rFonts w:ascii="宋体" w:hAnsi="宋体" w:cs="宋体" w:hint="eastAsia"/>
          <w:b/>
          <w:bCs/>
          <w:szCs w:val="21"/>
        </w:rPr>
        <w:t xml:space="preserve"> 调整六水氯化镁关于氯化镁含量、钙含量、碱金属氯化物的指标要求</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原标准标龄长，截至2024年，已有21年。与2003年标准修订时相比，我国氯化镁生产技术不断进步，产品质量已有提升，QB/T 2605-2003《工业氯化镁》标准中的一些指标要求已不符合当前生产实际，且无法满足氯化镁用户对产品质量的要求，因此，调整无水氯化镁中的白色氯化镁指标为：氯化镁（以MgCl</w:t>
      </w:r>
      <w:r>
        <w:rPr>
          <w:rFonts w:ascii="宋体" w:hAnsi="宋体" w:cs="宋体" w:hint="eastAsia"/>
          <w:szCs w:val="21"/>
          <w:vertAlign w:val="subscript"/>
        </w:rPr>
        <w:t>2</w:t>
      </w:r>
      <w:r>
        <w:rPr>
          <w:rFonts w:ascii="宋体" w:hAnsi="宋体" w:cs="宋体" w:hint="eastAsia"/>
          <w:szCs w:val="21"/>
        </w:rPr>
        <w:t>计）含量要求不得低于46.2%，硫酸根（以SO4</w:t>
      </w:r>
      <w:r>
        <w:rPr>
          <w:rFonts w:ascii="宋体" w:hAnsi="宋体" w:cs="宋体" w:hint="eastAsia"/>
          <w:szCs w:val="21"/>
          <w:vertAlign w:val="superscript"/>
        </w:rPr>
        <w:t>2-</w:t>
      </w:r>
      <w:r>
        <w:rPr>
          <w:rFonts w:ascii="宋体" w:hAnsi="宋体" w:cs="宋体" w:hint="eastAsia"/>
          <w:szCs w:val="21"/>
        </w:rPr>
        <w:t>计）含量不得高于0.80%。调整普通氯化镁指标为：氯化镁（以MgCl</w:t>
      </w:r>
      <w:r>
        <w:rPr>
          <w:rFonts w:ascii="宋体" w:hAnsi="宋体" w:cs="宋体" w:hint="eastAsia"/>
          <w:szCs w:val="21"/>
          <w:vertAlign w:val="subscript"/>
        </w:rPr>
        <w:t>2</w:t>
      </w:r>
      <w:r>
        <w:rPr>
          <w:rFonts w:ascii="宋体" w:hAnsi="宋体" w:cs="宋体" w:hint="eastAsia"/>
          <w:szCs w:val="21"/>
        </w:rPr>
        <w:t>计）含量要求不得低于44.8%，硫酸根（以SO4</w:t>
      </w:r>
      <w:r>
        <w:rPr>
          <w:rFonts w:ascii="宋体" w:hAnsi="宋体" w:cs="宋体" w:hint="eastAsia"/>
          <w:szCs w:val="21"/>
          <w:vertAlign w:val="superscript"/>
        </w:rPr>
        <w:t>2-</w:t>
      </w:r>
      <w:r>
        <w:rPr>
          <w:rFonts w:ascii="宋体" w:hAnsi="宋体" w:cs="宋体" w:hint="eastAsia"/>
          <w:szCs w:val="21"/>
        </w:rPr>
        <w:t>计）含量不得高于2.70%。</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w:t>
      </w:r>
      <w:r w:rsidR="00417656">
        <w:rPr>
          <w:rFonts w:ascii="宋体" w:hAnsi="宋体" w:cs="宋体"/>
          <w:b/>
          <w:bCs/>
          <w:szCs w:val="21"/>
        </w:rPr>
        <w:t>7</w:t>
      </w:r>
      <w:r>
        <w:rPr>
          <w:rFonts w:ascii="宋体" w:hAnsi="宋体" w:cs="宋体" w:hint="eastAsia"/>
          <w:b/>
          <w:bCs/>
          <w:szCs w:val="21"/>
        </w:rPr>
        <w:t xml:space="preserve"> 增加了无水氯化镁中氯化镁、钙、硫酸根、碱金属氯化物、水不溶物、色度的指标要求</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本次修订增加了无水氯化镁的产品类别，根据市场流通产品情况以及不同企业生产的产品质量情况对氯化镁（以MgCl</w:t>
      </w:r>
      <w:r>
        <w:rPr>
          <w:rFonts w:ascii="宋体" w:hAnsi="宋体" w:cs="宋体" w:hint="eastAsia"/>
          <w:szCs w:val="21"/>
          <w:vertAlign w:val="subscript"/>
        </w:rPr>
        <w:t>2</w:t>
      </w:r>
      <w:r>
        <w:rPr>
          <w:rFonts w:ascii="宋体" w:hAnsi="宋体" w:cs="宋体" w:hint="eastAsia"/>
          <w:szCs w:val="21"/>
        </w:rPr>
        <w:t>计）含量要求不得低于95%；钙（以Ca</w:t>
      </w:r>
      <w:r>
        <w:rPr>
          <w:rFonts w:ascii="宋体" w:hAnsi="宋体" w:cs="宋体" w:hint="eastAsia"/>
          <w:szCs w:val="21"/>
          <w:vertAlign w:val="superscript"/>
        </w:rPr>
        <w:t>2+</w:t>
      </w:r>
      <w:r>
        <w:rPr>
          <w:rFonts w:ascii="宋体" w:hAnsi="宋体" w:cs="宋体" w:hint="eastAsia"/>
          <w:szCs w:val="21"/>
        </w:rPr>
        <w:t>计）含量不得高于0.12%；硫酸根（以SO</w:t>
      </w:r>
      <w:r>
        <w:rPr>
          <w:rFonts w:ascii="宋体" w:hAnsi="宋体" w:cs="宋体" w:hint="eastAsia"/>
          <w:szCs w:val="21"/>
          <w:vertAlign w:val="subscript"/>
        </w:rPr>
        <w:t>4</w:t>
      </w:r>
      <w:r>
        <w:rPr>
          <w:rFonts w:ascii="宋体" w:hAnsi="宋体" w:cs="宋体" w:hint="eastAsia"/>
          <w:szCs w:val="21"/>
          <w:vertAlign w:val="superscript"/>
        </w:rPr>
        <w:t>2-</w:t>
      </w:r>
      <w:r>
        <w:rPr>
          <w:rFonts w:ascii="宋体" w:hAnsi="宋体" w:cs="宋体" w:hint="eastAsia"/>
          <w:szCs w:val="21"/>
        </w:rPr>
        <w:t>计）含量不得高于0.50%；碱金属氯化物（以Cl</w:t>
      </w:r>
      <w:r>
        <w:rPr>
          <w:rFonts w:ascii="宋体" w:hAnsi="宋体" w:cs="宋体" w:hint="eastAsia"/>
          <w:szCs w:val="21"/>
          <w:vertAlign w:val="superscript"/>
        </w:rPr>
        <w:t>-</w:t>
      </w:r>
      <w:r>
        <w:rPr>
          <w:rFonts w:ascii="宋体" w:hAnsi="宋体" w:cs="宋体" w:hint="eastAsia"/>
          <w:szCs w:val="21"/>
        </w:rPr>
        <w:t>计）含量不得高于0.50%；水不溶物含量不得高于0.10%；色度不得高于50度。</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w:t>
      </w:r>
      <w:r w:rsidR="00417656">
        <w:rPr>
          <w:rFonts w:ascii="宋体" w:hAnsi="宋体" w:cs="宋体"/>
          <w:b/>
          <w:bCs/>
          <w:szCs w:val="21"/>
        </w:rPr>
        <w:t>8</w:t>
      </w:r>
      <w:r>
        <w:rPr>
          <w:rFonts w:ascii="宋体" w:hAnsi="宋体" w:cs="宋体" w:hint="eastAsia"/>
          <w:b/>
          <w:bCs/>
          <w:szCs w:val="21"/>
        </w:rPr>
        <w:t xml:space="preserve"> 增加了铅、六价铬的指标要求</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lastRenderedPageBreak/>
        <w:t>市面上存在低质量副产物工业氯化镁，这一类产品感官上与无水氯化镁区别不大，且氯化镁含量高，常以低于市场价格倾销，挤压正规企业利润空间，此外，这类的副产物氯化镁通常具有腐蚀性，重金属含量超标，违规使用会严重破坏生态环境。因此，为了维护正规企业合法权益，避免低劣副产品以次充好，本次修订增加了铅、六价铬的指标要求，要求铅含量不得大于5mg/kg；六价铬含量不得大于2mg/kg。</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w:t>
      </w:r>
      <w:r w:rsidR="00417656">
        <w:rPr>
          <w:rFonts w:ascii="宋体" w:hAnsi="宋体" w:cs="宋体"/>
          <w:b/>
          <w:bCs/>
          <w:szCs w:val="21"/>
        </w:rPr>
        <w:t>9</w:t>
      </w:r>
      <w:r>
        <w:rPr>
          <w:rFonts w:ascii="宋体" w:hAnsi="宋体" w:cs="宋体" w:hint="eastAsia"/>
          <w:b/>
          <w:bCs/>
          <w:szCs w:val="21"/>
        </w:rPr>
        <w:t xml:space="preserve"> 补充了感官的试验方法</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原标准仅规定了目测、鼻嗅，方法过于简单且不细致，为了使方法更具操作性，统一了目测观察的颜色背景和光线，具体为“取适量试样于白色洁净浅盘中，均匀摊开，在自然光下目测其色泽和组织状态、鼻嗅其气味”。</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4.1</w:t>
      </w:r>
      <w:r w:rsidR="00417656">
        <w:rPr>
          <w:rFonts w:ascii="宋体" w:hAnsi="宋体" w:cs="宋体"/>
          <w:b/>
          <w:bCs/>
          <w:szCs w:val="21"/>
        </w:rPr>
        <w:t>0</w:t>
      </w:r>
      <w:r>
        <w:rPr>
          <w:rFonts w:ascii="宋体" w:hAnsi="宋体" w:cs="宋体" w:hint="eastAsia"/>
          <w:b/>
          <w:bCs/>
          <w:szCs w:val="21"/>
        </w:rPr>
        <w:t xml:space="preserve"> 更改了镁的试验方法</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原标准中测定镁和钙测定直接引用了GB/T 13025.6-2012《制盐工业通用试验方法 钙和镁的测定》，该标准中包含了容量法和原子吸收分光光度法，其中容量法适用于盐产品和盐化工产品及其原料中钙和镁的测定；原子吸收分光光度法适用于盐产品中微量钙、镁的测定。氯化镁中镁的含量很高（约11%</w:t>
      </w:r>
      <w:r>
        <w:rPr>
          <w:rFonts w:ascii="宋体" w:hAnsi="宋体" w:cs="宋体"/>
          <w:szCs w:val="21"/>
        </w:rPr>
        <w:t>~</w:t>
      </w:r>
      <w:r>
        <w:rPr>
          <w:rFonts w:ascii="宋体" w:hAnsi="宋体" w:cs="宋体" w:hint="eastAsia"/>
          <w:szCs w:val="21"/>
        </w:rPr>
        <w:t>25%），不适用原子吸收分光光度法，因此，镁的试验方法改为引用GB/T 13025.6-2012中4镁的测定（容量法）。</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根据不同生产企业提供工业氯化镁的分析结果看，均含有少量铁，因此，为了掩蔽干扰金属离子带来的滴定终点不明显或结果偏高，在样品前处理中加入三乙醇胺，用以掩蔽少量三价铁、三价铝和二价锰等离子，提高测定结果的准确性。</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增加了原理部分的表述，分析步骤中给定了样品配制步骤，由于无水氯化镁和六水氯化镁中镁含量不同，因此不限定吸取体积，改为吸取一定体积（含12mg以下），再按照GB/T 13025.6-2012中4.2规定测定。</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4.1</w:t>
      </w:r>
      <w:r w:rsidR="00417656">
        <w:rPr>
          <w:rFonts w:ascii="宋体" w:hAnsi="宋体" w:cs="宋体"/>
          <w:b/>
          <w:bCs/>
          <w:szCs w:val="21"/>
        </w:rPr>
        <w:t>1</w:t>
      </w:r>
      <w:r>
        <w:rPr>
          <w:rFonts w:ascii="宋体" w:hAnsi="宋体" w:cs="宋体" w:hint="eastAsia"/>
          <w:b/>
          <w:bCs/>
          <w:szCs w:val="21"/>
        </w:rPr>
        <w:t>更改了钙的试验方法</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由于GB/T 13025.6-2012《制盐工业通用试验方法 钙和镁的测定》标准中容量法是测定钙和镁含量总和，镁的含量计算公式中需要用滴定钙的体积，因此，钙的试验方法由原来标准中直接引用改为部分引用GB/T 13025.6-2012《制盐工业通用试验方法 钙和镁的测定》第三钙的测定（容量法）中的内容。同时，在分析步骤中加入三乙醇胺，用以掩蔽少量三价铁、三价铝和二价锰等离子，提高测定结果的准确性。</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4.1</w:t>
      </w:r>
      <w:r w:rsidR="00417656">
        <w:rPr>
          <w:rFonts w:ascii="宋体" w:hAnsi="宋体" w:cs="宋体"/>
          <w:b/>
          <w:bCs/>
          <w:szCs w:val="21"/>
        </w:rPr>
        <w:t>2</w:t>
      </w:r>
      <w:r>
        <w:rPr>
          <w:rFonts w:ascii="宋体" w:hAnsi="宋体" w:cs="宋体" w:hint="eastAsia"/>
          <w:b/>
          <w:bCs/>
          <w:szCs w:val="21"/>
        </w:rPr>
        <w:t xml:space="preserve"> 删去附录A中关于硫酸根样品溶液的配制与吸取量的要求</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GB/T 13025.8-2012《制盐工业通用试验方法 硫酸根的测定》中的重量法和容量法，均给出了样品稀释后吸取体积中所含硫酸根最大值的要求，因此，删去原来标准中关于样品溶</w:t>
      </w:r>
      <w:r>
        <w:rPr>
          <w:rFonts w:ascii="宋体" w:hAnsi="宋体" w:cs="宋体" w:hint="eastAsia"/>
          <w:szCs w:val="21"/>
        </w:rPr>
        <w:lastRenderedPageBreak/>
        <w:t>液配制与吸取量的要求，改为直接引用。</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4.1</w:t>
      </w:r>
      <w:r w:rsidR="00417656">
        <w:rPr>
          <w:rFonts w:ascii="宋体" w:hAnsi="宋体" w:cs="宋体"/>
          <w:b/>
          <w:bCs/>
          <w:szCs w:val="21"/>
        </w:rPr>
        <w:t>3</w:t>
      </w:r>
      <w:r>
        <w:rPr>
          <w:rFonts w:ascii="宋体" w:hAnsi="宋体" w:cs="宋体" w:hint="eastAsia"/>
          <w:b/>
          <w:bCs/>
          <w:szCs w:val="21"/>
        </w:rPr>
        <w:t xml:space="preserve"> 更改了色度的试验方法</w:t>
      </w:r>
    </w:p>
    <w:p w:rsidR="000F0468" w:rsidRDefault="00BF6AFD">
      <w:pPr>
        <w:spacing w:before="200" w:line="300" w:lineRule="auto"/>
        <w:ind w:firstLineChars="200" w:firstLine="420"/>
      </w:pPr>
      <w:r>
        <w:rPr>
          <w:rFonts w:ascii="宋体" w:hAnsi="宋体" w:cs="宋体" w:hint="eastAsia"/>
          <w:szCs w:val="21"/>
        </w:rPr>
        <w:t>色度由原标准中规定的配制不同梯度标准溶液方法改为限量法。限量法仅需要设定一个颜色上限，如色度不得深于某一标准溶液。通过直接目视判断即可，无需配制梯度标准色度溶液，节省试剂与时间成本。此外，原来标准需要比对出与样品相同的标准色度溶液，难度较大，且目视法易受光线、观察者视力影响，导致同一样品不同检测人员判定结果差异性较大。因此，色度的试验方法改为限量法。</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4.1</w:t>
      </w:r>
      <w:r w:rsidR="00417656">
        <w:rPr>
          <w:rFonts w:ascii="宋体" w:hAnsi="宋体" w:cs="宋体"/>
          <w:b/>
          <w:bCs/>
          <w:szCs w:val="21"/>
        </w:rPr>
        <w:t>4</w:t>
      </w:r>
      <w:r>
        <w:rPr>
          <w:rFonts w:ascii="宋体" w:hAnsi="宋体" w:cs="宋体" w:hint="eastAsia"/>
          <w:b/>
          <w:bCs/>
          <w:szCs w:val="21"/>
        </w:rPr>
        <w:t xml:space="preserve"> 增加了铅和六价铬的试验方法</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本次修订增加了铅和六价铬的指标要求，因此相应的增加了试验方法。经过试验验证，铅的测定引用GB/T 13025.9-2012《制盐工业通用试验方法 铅的测定》中第三章氢化物原子荧光光度法。</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目前行业标准体系中没有六价铬的检测方法，因此，依据工业氯化镁产品基质的特性，经过大量的试验，建立了六价铬含量的分析方法。</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4.1</w:t>
      </w:r>
      <w:r w:rsidR="00417656">
        <w:rPr>
          <w:rFonts w:ascii="宋体" w:hAnsi="宋体" w:cs="宋体"/>
          <w:b/>
          <w:bCs/>
          <w:szCs w:val="21"/>
        </w:rPr>
        <w:t>5</w:t>
      </w:r>
      <w:r>
        <w:rPr>
          <w:rFonts w:ascii="宋体" w:hAnsi="宋体" w:cs="宋体" w:hint="eastAsia"/>
          <w:b/>
          <w:bCs/>
          <w:szCs w:val="21"/>
        </w:rPr>
        <w:t xml:space="preserve"> 删去附录A</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删去原标准中附录A关于样品溶液的配制与吸取量的要求，原因是增加了无水氯化镁的产品，原有的稀释方法已不适用，已将新规定的样品溶液配制方法与吸取量放于相应的试验方法中。</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4.1</w:t>
      </w:r>
      <w:r w:rsidR="00417656">
        <w:rPr>
          <w:rFonts w:ascii="宋体" w:hAnsi="宋体" w:cs="宋体"/>
          <w:b/>
          <w:bCs/>
          <w:szCs w:val="21"/>
        </w:rPr>
        <w:t>6</w:t>
      </w:r>
      <w:r>
        <w:rPr>
          <w:rFonts w:ascii="宋体" w:hAnsi="宋体" w:cs="宋体" w:hint="eastAsia"/>
          <w:b/>
          <w:bCs/>
          <w:szCs w:val="21"/>
        </w:rPr>
        <w:t xml:space="preserve"> 删去供需双方商定质量交付异议处理的要求</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该行为属于市场行为，标准中不做规定。</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4.1</w:t>
      </w:r>
      <w:r w:rsidR="00417656">
        <w:rPr>
          <w:rFonts w:ascii="宋体" w:hAnsi="宋体" w:cs="宋体"/>
          <w:b/>
          <w:bCs/>
          <w:szCs w:val="21"/>
        </w:rPr>
        <w:t>7</w:t>
      </w:r>
      <w:r>
        <w:rPr>
          <w:rFonts w:ascii="宋体" w:hAnsi="宋体" w:cs="宋体" w:hint="eastAsia"/>
          <w:b/>
          <w:bCs/>
          <w:szCs w:val="21"/>
        </w:rPr>
        <w:t xml:space="preserve"> 更改了判定规则</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更改了判定规则的表述，明确了检验结果合格和不合格两种情况的处理方式，使其更加科学严谨。</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4.1</w:t>
      </w:r>
      <w:r w:rsidR="00417656">
        <w:rPr>
          <w:rFonts w:ascii="宋体" w:hAnsi="宋体" w:cs="宋体"/>
          <w:b/>
          <w:bCs/>
          <w:szCs w:val="21"/>
        </w:rPr>
        <w:t>8</w:t>
      </w:r>
      <w:r>
        <w:rPr>
          <w:rFonts w:ascii="宋体" w:hAnsi="宋体" w:cs="宋体" w:hint="eastAsia"/>
          <w:b/>
          <w:bCs/>
          <w:szCs w:val="21"/>
        </w:rPr>
        <w:t xml:space="preserve"> 增加了标志、包装的要求</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为了明确区分六水氯化镁和无水氯化镁两种产品，标签上要求注明分子式。分子式标注于产品标签可帮助用户识别产品适用场景（如应用于锂电池，则需无水形态，工业通用可用六水形态），提高产品利用率。</w:t>
      </w:r>
    </w:p>
    <w:p w:rsidR="000F0468" w:rsidRDefault="00BF6AFD" w:rsidP="00417656">
      <w:pPr>
        <w:spacing w:before="200" w:line="300" w:lineRule="auto"/>
        <w:rPr>
          <w:rFonts w:ascii="宋体" w:hAnsi="宋体" w:cs="宋体"/>
          <w:b/>
          <w:bCs/>
          <w:szCs w:val="21"/>
        </w:rPr>
      </w:pPr>
      <w:r>
        <w:rPr>
          <w:rFonts w:ascii="宋体" w:hAnsi="宋体" w:cs="宋体" w:hint="eastAsia"/>
          <w:b/>
          <w:bCs/>
          <w:szCs w:val="21"/>
        </w:rPr>
        <w:t>4.20 更改了本文件规定内容的表述</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 xml:space="preserve">根据引用方法标准GB/T 13025.6-2012《制盐工业通用试验方法 钙和镁的测定》、GB/T </w:t>
      </w:r>
      <w:r>
        <w:rPr>
          <w:rFonts w:ascii="宋体" w:hAnsi="宋体" w:cs="宋体" w:hint="eastAsia"/>
          <w:szCs w:val="21"/>
        </w:rPr>
        <w:lastRenderedPageBreak/>
        <w:t>13025.8-2012 《制盐工业通用试验方法 硫酸根的测定》中的描述，将原标准中关于镁离子、钙离子、硫酸根离子的表述改为“钙、镁和硫酸根”。</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三、主要试验（或验证）情况</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本标准对新增工业无水氯化镁理化指标及对原有标准中六水氯化镁理化指标要求进行了修正；对新增铅、六价铬指标的试验方法进行了验证；对镁、钙样品处理步骤进行了完善。以下是相关主要试验的验证情况。</w:t>
      </w:r>
    </w:p>
    <w:p w:rsidR="000F0468" w:rsidRDefault="00BF6AFD">
      <w:pPr>
        <w:pStyle w:val="a"/>
        <w:numPr>
          <w:ilvl w:val="0"/>
          <w:numId w:val="3"/>
        </w:numPr>
        <w:spacing w:beforeLines="50" w:before="156" w:afterLines="50" w:after="156"/>
        <w:rPr>
          <w:rFonts w:ascii="宋体" w:hAnsi="宋体" w:cs="宋体"/>
          <w:sz w:val="24"/>
          <w:szCs w:val="24"/>
        </w:rPr>
      </w:pPr>
      <w:r>
        <w:rPr>
          <w:rFonts w:ascii="宋体" w:hAnsi="宋体" w:cs="宋体" w:hint="eastAsia"/>
          <w:sz w:val="24"/>
          <w:szCs w:val="24"/>
        </w:rPr>
        <w:t>工业氯化镁产品质量统计</w:t>
      </w:r>
    </w:p>
    <w:p w:rsidR="000F0468" w:rsidRDefault="00BF6AFD">
      <w:pPr>
        <w:pStyle w:val="af2"/>
        <w:spacing w:line="300" w:lineRule="auto"/>
      </w:pPr>
      <w:r>
        <w:rPr>
          <w:rFonts w:hint="eastAsia"/>
        </w:rPr>
        <w:t>对不同企业生产的工业氯化镁产品质量进行统计，其中1</w:t>
      </w:r>
      <w:r>
        <w:rPr>
          <w:rFonts w:ascii="Times New Roman"/>
        </w:rPr>
        <w:t>~</w:t>
      </w:r>
      <w:r>
        <w:rPr>
          <w:rFonts w:hint="eastAsia"/>
        </w:rPr>
        <w:t>12号是近三年来工业氯化镁产品统计数据，13</w:t>
      </w:r>
      <w:r>
        <w:rPr>
          <w:rFonts w:ascii="Times New Roman"/>
        </w:rPr>
        <w:t>~</w:t>
      </w:r>
      <w:r>
        <w:rPr>
          <w:rFonts w:hint="eastAsia"/>
        </w:rPr>
        <w:t>21号是9家不同企业生产的无水氯化镁产品，感官、氯化镁含量、钙含量、硫酸根含量、碱金属氯化物、水不溶物、色度指标检测结果如下表</w:t>
      </w:r>
      <w:r w:rsidR="00EB68F9">
        <w:t>1</w:t>
      </w:r>
      <w:r>
        <w:rPr>
          <w:rFonts w:hint="eastAsia"/>
        </w:rPr>
        <w:t>。</w:t>
      </w:r>
    </w:p>
    <w:p w:rsidR="000F0468" w:rsidRDefault="00BF6AFD">
      <w:pPr>
        <w:pStyle w:val="af2"/>
        <w:spacing w:line="360" w:lineRule="auto"/>
        <w:ind w:firstLine="360"/>
        <w:jc w:val="center"/>
        <w:rPr>
          <w:rFonts w:hAnsi="宋体" w:cs="宋体"/>
          <w:sz w:val="18"/>
          <w:szCs w:val="18"/>
        </w:rPr>
      </w:pPr>
      <w:r>
        <w:rPr>
          <w:rFonts w:hAnsi="宋体" w:cs="宋体" w:hint="eastAsia"/>
          <w:sz w:val="18"/>
          <w:szCs w:val="18"/>
        </w:rPr>
        <w:t>表</w:t>
      </w:r>
      <w:r w:rsidR="00EB68F9">
        <w:rPr>
          <w:rFonts w:hAnsi="宋体" w:cs="宋体"/>
          <w:sz w:val="18"/>
          <w:szCs w:val="18"/>
        </w:rPr>
        <w:t>1</w:t>
      </w:r>
      <w:r>
        <w:rPr>
          <w:rFonts w:hAnsi="宋体" w:cs="宋体" w:hint="eastAsia"/>
          <w:sz w:val="18"/>
          <w:szCs w:val="18"/>
        </w:rPr>
        <w:t xml:space="preserve"> 工业氯化镁产品质量数据</w:t>
      </w:r>
    </w:p>
    <w:tbl>
      <w:tblPr>
        <w:tblW w:w="9916" w:type="dxa"/>
        <w:jc w:val="center"/>
        <w:tblLayout w:type="fixed"/>
        <w:tblLook w:val="04A0" w:firstRow="1" w:lastRow="0" w:firstColumn="1" w:lastColumn="0" w:noHBand="0" w:noVBand="1"/>
      </w:tblPr>
      <w:tblGrid>
        <w:gridCol w:w="720"/>
        <w:gridCol w:w="1350"/>
        <w:gridCol w:w="1318"/>
        <w:gridCol w:w="810"/>
        <w:gridCol w:w="1050"/>
        <w:gridCol w:w="685"/>
        <w:gridCol w:w="975"/>
        <w:gridCol w:w="1230"/>
        <w:gridCol w:w="1015"/>
        <w:gridCol w:w="763"/>
      </w:tblGrid>
      <w:tr w:rsidR="000F0468">
        <w:trPr>
          <w:trHeight w:val="640"/>
          <w:jc w:val="center"/>
        </w:trPr>
        <w:tc>
          <w:tcPr>
            <w:tcW w:w="720"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序号</w:t>
            </w:r>
          </w:p>
        </w:tc>
        <w:tc>
          <w:tcPr>
            <w:tcW w:w="1350"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产品名称</w:t>
            </w:r>
          </w:p>
        </w:tc>
        <w:tc>
          <w:tcPr>
            <w:tcW w:w="1318"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类型</w:t>
            </w:r>
          </w:p>
        </w:tc>
        <w:tc>
          <w:tcPr>
            <w:tcW w:w="810"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感官</w:t>
            </w:r>
          </w:p>
        </w:tc>
        <w:tc>
          <w:tcPr>
            <w:tcW w:w="1050"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氯化镁%</w:t>
            </w:r>
          </w:p>
        </w:tc>
        <w:tc>
          <w:tcPr>
            <w:tcW w:w="685"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钙%</w:t>
            </w:r>
          </w:p>
        </w:tc>
        <w:tc>
          <w:tcPr>
            <w:tcW w:w="975"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硫酸根%</w:t>
            </w:r>
          </w:p>
        </w:tc>
        <w:tc>
          <w:tcPr>
            <w:tcW w:w="1230"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碱金属     氯化物%</w:t>
            </w:r>
          </w:p>
        </w:tc>
        <w:tc>
          <w:tcPr>
            <w:tcW w:w="1015"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水不溶物%</w:t>
            </w:r>
          </w:p>
        </w:tc>
        <w:tc>
          <w:tcPr>
            <w:tcW w:w="763"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色度（度）</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普通氯化镁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45.95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2.41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0.50</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76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氯化镁A</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普通氯化镁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46.02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0.10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76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3</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氯化镁B</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普通氯化镁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45.70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0.04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76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4</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工业氯化镁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普通氯化镁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48.59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0.73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76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5</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工业氯化镁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普通氯化镁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45.52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5.20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2.34 </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76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6</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工业氯化镁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普通氯化镁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44.12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2.72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0.65 </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c>
          <w:tcPr>
            <w:tcW w:w="76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7</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工业氯化镁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白色氯化镁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46.71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0.03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0.07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0.50 </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＜0.01</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8</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工业氯化镁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白色氯化镁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46.26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0.02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＜0.01</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0.07 </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＜0.01</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9</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氯化镁阻化剂</w:t>
            </w:r>
          </w:p>
        </w:tc>
        <w:tc>
          <w:tcPr>
            <w:tcW w:w="1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白色氯化镁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45.36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0.04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0.24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1.47 </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 xml:space="preserve">0.07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10</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白色氯化镁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48.28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0.06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0.08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0.83 </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 xml:space="preserve">0.62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11</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工业氯化镁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白色氯化镁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46.10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0.04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0.22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0.19 </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 xml:space="preserve">0.02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12</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白色氯化镁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46.90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 xml:space="preserve">0.05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＜0.01</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sz w:val="18"/>
                <w:szCs w:val="18"/>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 xml:space="preserve">0.01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sz w:val="18"/>
                <w:szCs w:val="18"/>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13</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工业氯化镁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无水氯化镁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99.92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0.03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0.07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0.05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14</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工业氯化镁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无水氯化镁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98.14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0.05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0.60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1.08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15</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工业氯化镁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无水氯化镁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99.72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0.02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＜0.01</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0.14 </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0.08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16</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工业氯化镁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无水氯化镁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99.97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0.02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＜0.01</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0.01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17</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无水氯化镁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99.81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0.02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0.06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0.01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18</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无水氯化镁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99.90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0.07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0.02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0.02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19</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无水氯化镁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99.54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0.02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0.06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0.04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20</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无水氯化镁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99.91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0.03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0.03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0.02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＜50</w:t>
            </w:r>
          </w:p>
        </w:tc>
      </w:tr>
      <w:tr w:rsidR="000F0468">
        <w:trPr>
          <w:trHeight w:val="30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21</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氯化镁</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无水氯化镁</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符合</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 xml:space="preserve">99.85 </w:t>
            </w: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0.05 </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0.08 </w:t>
            </w: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＜0.01</w:t>
            </w: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 xml:space="preserve">0.03 </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＜50</w:t>
            </w:r>
          </w:p>
        </w:tc>
      </w:tr>
    </w:tbl>
    <w:p w:rsidR="000F0468" w:rsidRDefault="00BF6AFD">
      <w:pPr>
        <w:pStyle w:val="a"/>
        <w:numPr>
          <w:ilvl w:val="0"/>
          <w:numId w:val="0"/>
        </w:numPr>
        <w:spacing w:beforeLines="50" w:before="156" w:afterLines="50" w:after="156" w:line="300" w:lineRule="auto"/>
        <w:ind w:firstLineChars="200" w:firstLine="420"/>
        <w:rPr>
          <w:rFonts w:ascii="宋体" w:eastAsia="宋体"/>
        </w:rPr>
      </w:pPr>
      <w:r>
        <w:rPr>
          <w:rFonts w:ascii="宋体" w:eastAsia="宋体" w:hint="eastAsia"/>
        </w:rPr>
        <w:t>经统计，若按原标准判定，1</w:t>
      </w:r>
      <w:r>
        <w:rPr>
          <w:rFonts w:ascii="Times New Roman" w:eastAsia="宋体"/>
        </w:rPr>
        <w:t>~</w:t>
      </w:r>
      <w:r>
        <w:rPr>
          <w:rFonts w:ascii="宋体" w:eastAsia="宋体" w:hint="eastAsia"/>
        </w:rPr>
        <w:t>12号中氯化镁含量不合格的有2个，一个不符合普通氯化镁44.50%的要求，另一个不符合白色氯化镁45.36%的要求；硫酸根含量不合格有1个，</w:t>
      </w:r>
      <w:r>
        <w:rPr>
          <w:rFonts w:ascii="宋体" w:eastAsia="宋体" w:hint="eastAsia"/>
        </w:rPr>
        <w:lastRenderedPageBreak/>
        <w:t>不符合普通氯化镁2.80%的要求。若按修订后的标准判定，氯化镁含量不合格增加1个，硫酸根含量不合格增加1个。9个无水氯化镁产品，按新规定产品要求检验，不合格产品1个，分别为硫酸根含量、水不溶物含量。整体来看，工业氯化镁中无水氯化镁、白色氯化镁、普通氯化镁中的不合格产品均有分布。</w:t>
      </w:r>
    </w:p>
    <w:p w:rsidR="000F0468" w:rsidRDefault="00BF6AFD">
      <w:pPr>
        <w:pStyle w:val="a"/>
        <w:numPr>
          <w:ilvl w:val="0"/>
          <w:numId w:val="3"/>
        </w:numPr>
        <w:spacing w:beforeLines="50" w:before="156" w:afterLines="50" w:after="156" w:line="300" w:lineRule="auto"/>
        <w:rPr>
          <w:rFonts w:ascii="宋体" w:hAnsi="宋体" w:cs="宋体"/>
          <w:sz w:val="24"/>
          <w:szCs w:val="24"/>
        </w:rPr>
      </w:pPr>
      <w:r>
        <w:rPr>
          <w:rFonts w:ascii="宋体" w:hAnsi="宋体" w:cs="宋体" w:hint="eastAsia"/>
          <w:sz w:val="24"/>
          <w:szCs w:val="24"/>
        </w:rPr>
        <w:t>铅及六价铬含量检测数据</w:t>
      </w:r>
    </w:p>
    <w:p w:rsidR="000F0468" w:rsidRDefault="00BF6AFD">
      <w:pPr>
        <w:pStyle w:val="af2"/>
        <w:spacing w:line="300" w:lineRule="auto"/>
      </w:pPr>
      <w:r>
        <w:rPr>
          <w:rFonts w:hint="eastAsia"/>
        </w:rPr>
        <w:t>对市场中流通的普通氯化镁、白色氯化镁、无水氯化镁进行样品的购买，并对其中的铅、六价铬含量进行检测，样品的检测数据如下表</w:t>
      </w:r>
      <w:r w:rsidR="00EB68F9">
        <w:t>2</w:t>
      </w:r>
      <w:r>
        <w:rPr>
          <w:rFonts w:hint="eastAsia"/>
        </w:rPr>
        <w:t>：</w:t>
      </w:r>
    </w:p>
    <w:p w:rsidR="000F0468" w:rsidRDefault="00BF6AFD">
      <w:pPr>
        <w:pStyle w:val="af2"/>
        <w:spacing w:line="360" w:lineRule="auto"/>
        <w:ind w:firstLine="360"/>
        <w:jc w:val="center"/>
        <w:rPr>
          <w:sz w:val="18"/>
          <w:szCs w:val="18"/>
        </w:rPr>
      </w:pPr>
      <w:r>
        <w:rPr>
          <w:rFonts w:hAnsi="宋体" w:cs="宋体" w:hint="eastAsia"/>
          <w:sz w:val="18"/>
          <w:szCs w:val="18"/>
        </w:rPr>
        <w:t>表</w:t>
      </w:r>
      <w:r w:rsidR="00EB68F9">
        <w:rPr>
          <w:rFonts w:hAnsi="宋体" w:cs="宋体"/>
          <w:sz w:val="18"/>
          <w:szCs w:val="18"/>
        </w:rPr>
        <w:t>2</w:t>
      </w:r>
      <w:r>
        <w:rPr>
          <w:rFonts w:hAnsi="宋体" w:cs="宋体" w:hint="eastAsia"/>
          <w:sz w:val="18"/>
          <w:szCs w:val="18"/>
        </w:rPr>
        <w:t xml:space="preserve"> 铅及六价铬产品质量数据</w:t>
      </w:r>
    </w:p>
    <w:tbl>
      <w:tblPr>
        <w:tblW w:w="5301" w:type="dxa"/>
        <w:jc w:val="center"/>
        <w:tblLayout w:type="fixed"/>
        <w:tblLook w:val="04A0" w:firstRow="1" w:lastRow="0" w:firstColumn="1" w:lastColumn="0" w:noHBand="0" w:noVBand="1"/>
      </w:tblPr>
      <w:tblGrid>
        <w:gridCol w:w="764"/>
        <w:gridCol w:w="1643"/>
        <w:gridCol w:w="1344"/>
        <w:gridCol w:w="1550"/>
      </w:tblGrid>
      <w:tr w:rsidR="000F0468">
        <w:trPr>
          <w:trHeight w:val="518"/>
          <w:jc w:val="center"/>
        </w:trPr>
        <w:tc>
          <w:tcPr>
            <w:tcW w:w="764"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序号</w:t>
            </w:r>
          </w:p>
        </w:tc>
        <w:tc>
          <w:tcPr>
            <w:tcW w:w="1643"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产品类型</w:t>
            </w:r>
          </w:p>
        </w:tc>
        <w:tc>
          <w:tcPr>
            <w:tcW w:w="1344"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铅mg/kg</w:t>
            </w:r>
          </w:p>
        </w:tc>
        <w:tc>
          <w:tcPr>
            <w:tcW w:w="1550" w:type="dxa"/>
            <w:tcBorders>
              <w:top w:val="single" w:sz="4" w:space="0" w:color="000000"/>
              <w:left w:val="single" w:sz="4" w:space="0" w:color="000000"/>
              <w:bottom w:val="single" w:sz="4" w:space="0" w:color="000000"/>
              <w:right w:val="single" w:sz="4" w:space="0" w:color="000000"/>
            </w:tcBorders>
            <w:shd w:val="clear" w:color="C0C0C0" w:fill="E7E6E6"/>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六价铬mg/kg</w:t>
            </w:r>
          </w:p>
        </w:tc>
      </w:tr>
      <w:tr w:rsidR="000F0468">
        <w:trPr>
          <w:trHeight w:val="3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1</w:t>
            </w:r>
          </w:p>
        </w:tc>
        <w:tc>
          <w:tcPr>
            <w:tcW w:w="16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普通氯化镁</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 xml:space="preserve">1.3 </w:t>
            </w:r>
          </w:p>
        </w:tc>
      </w:tr>
      <w:tr w:rsidR="000F0468">
        <w:trPr>
          <w:trHeight w:val="3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2</w:t>
            </w:r>
          </w:p>
        </w:tc>
        <w:tc>
          <w:tcPr>
            <w:tcW w:w="16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普通氯化镁</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 xml:space="preserve">4.4 </w:t>
            </w:r>
          </w:p>
        </w:tc>
      </w:tr>
      <w:tr w:rsidR="000F0468">
        <w:trPr>
          <w:trHeight w:val="3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3</w:t>
            </w:r>
          </w:p>
        </w:tc>
        <w:tc>
          <w:tcPr>
            <w:tcW w:w="16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普通氯化镁</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 xml:space="preserve">0.2 </w:t>
            </w:r>
          </w:p>
        </w:tc>
      </w:tr>
      <w:tr w:rsidR="000F0468">
        <w:trPr>
          <w:trHeight w:val="3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4</w:t>
            </w:r>
          </w:p>
        </w:tc>
        <w:tc>
          <w:tcPr>
            <w:tcW w:w="1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白色氯化镁</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 xml:space="preserve">1.1 </w:t>
            </w:r>
          </w:p>
        </w:tc>
      </w:tr>
      <w:tr w:rsidR="000F0468">
        <w:trPr>
          <w:trHeight w:val="3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5</w:t>
            </w:r>
          </w:p>
        </w:tc>
        <w:tc>
          <w:tcPr>
            <w:tcW w:w="1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白色氯化镁</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r>
      <w:tr w:rsidR="000F0468">
        <w:trPr>
          <w:trHeight w:val="3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6</w:t>
            </w:r>
          </w:p>
        </w:tc>
        <w:tc>
          <w:tcPr>
            <w:tcW w:w="1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白色氯化镁</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 xml:space="preserve">0.4 </w:t>
            </w:r>
          </w:p>
        </w:tc>
      </w:tr>
      <w:tr w:rsidR="000F0468">
        <w:trPr>
          <w:trHeight w:val="3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7</w:t>
            </w:r>
          </w:p>
        </w:tc>
        <w:tc>
          <w:tcPr>
            <w:tcW w:w="16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无水氯化镁</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 xml:space="preserve">0.6 </w:t>
            </w:r>
          </w:p>
        </w:tc>
      </w:tr>
      <w:tr w:rsidR="000F0468">
        <w:trPr>
          <w:trHeight w:val="3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8</w:t>
            </w:r>
          </w:p>
        </w:tc>
        <w:tc>
          <w:tcPr>
            <w:tcW w:w="16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无水氯化镁</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 xml:space="preserve">0.6 </w:t>
            </w:r>
          </w:p>
        </w:tc>
      </w:tr>
      <w:tr w:rsidR="000F0468">
        <w:trPr>
          <w:trHeight w:val="3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9</w:t>
            </w:r>
          </w:p>
        </w:tc>
        <w:tc>
          <w:tcPr>
            <w:tcW w:w="16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无水氯化镁</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 xml:space="preserve">14.6 </w:t>
            </w:r>
          </w:p>
        </w:tc>
      </w:tr>
      <w:tr w:rsidR="000F0468">
        <w:trPr>
          <w:trHeight w:val="300"/>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10</w:t>
            </w:r>
          </w:p>
        </w:tc>
        <w:tc>
          <w:tcPr>
            <w:tcW w:w="164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无水氯化镁</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0.6</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F0468" w:rsidRDefault="00BF6AFD">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 xml:space="preserve">0.8 </w:t>
            </w:r>
          </w:p>
        </w:tc>
      </w:tr>
    </w:tbl>
    <w:p w:rsidR="000F0468" w:rsidRDefault="00BF6AFD">
      <w:pPr>
        <w:spacing w:before="200" w:line="300" w:lineRule="auto"/>
        <w:ind w:firstLineChars="200" w:firstLine="420"/>
      </w:pPr>
      <w:r>
        <w:rPr>
          <w:rFonts w:ascii="宋体" w:hAnsi="宋体" w:cs="宋体" w:hint="eastAsia"/>
          <w:szCs w:val="21"/>
        </w:rPr>
        <w:t>本次修订增加了铅、六价铬的指标要求，要求铅含量不得大于5mg/kg；六价铬含量不得大于2mg/kg。按标准规定，样品中有1个无水氯化镁中的六价铬含量不合格。</w:t>
      </w:r>
    </w:p>
    <w:p w:rsidR="000F0468" w:rsidRDefault="00BF6AFD">
      <w:pPr>
        <w:pStyle w:val="a"/>
        <w:numPr>
          <w:ilvl w:val="0"/>
          <w:numId w:val="3"/>
        </w:numPr>
        <w:spacing w:beforeLines="50" w:before="156" w:afterLines="50" w:after="156"/>
        <w:rPr>
          <w:rFonts w:ascii="宋体" w:hAnsi="宋体" w:cs="宋体"/>
          <w:sz w:val="24"/>
          <w:szCs w:val="24"/>
        </w:rPr>
      </w:pPr>
      <w:r>
        <w:rPr>
          <w:rFonts w:ascii="宋体" w:hAnsi="宋体" w:cs="宋体" w:hint="eastAsia"/>
          <w:sz w:val="24"/>
          <w:szCs w:val="24"/>
        </w:rPr>
        <w:t>铅的试验方法验证</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工业氯化镁中铅的测定引用了GB/T 13025.9-2012《制盐工业通用试验方法 铅的测定》中第三章氢化物原子荧光光度法。工业氯化镁样品中可能含有的杂质（如碱式盐、金属离子）会干扰检测结果，为了确认引用方法的正确度，进行了方法回收率和精密度的测试。</w:t>
      </w:r>
    </w:p>
    <w:p w:rsidR="000F0468" w:rsidRDefault="00BF6AFD">
      <w:pPr>
        <w:pStyle w:val="a0"/>
        <w:spacing w:before="156" w:after="156"/>
        <w:rPr>
          <w:sz w:val="24"/>
          <w:szCs w:val="24"/>
        </w:rPr>
      </w:pPr>
      <w:r>
        <w:rPr>
          <w:rFonts w:hint="eastAsia"/>
          <w:sz w:val="24"/>
          <w:szCs w:val="24"/>
        </w:rPr>
        <w:t>校正与线性</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配制铅的质量浓度曲线：0μg/mL、0.004μg/mL、0.008μg/mL、0.012μg/mL、0.016μg/mL。每个浓度重复试验3次，计算线性，具体数据见表3。</w:t>
      </w:r>
    </w:p>
    <w:p w:rsidR="000F0468" w:rsidRDefault="00BF6AFD">
      <w:pPr>
        <w:spacing w:line="360" w:lineRule="auto"/>
        <w:jc w:val="center"/>
        <w:rPr>
          <w:rFonts w:ascii="宋体" w:hAnsi="宋体" w:cs="宋体"/>
          <w:sz w:val="18"/>
          <w:szCs w:val="18"/>
        </w:rPr>
      </w:pPr>
      <w:r>
        <w:rPr>
          <w:rFonts w:ascii="宋体" w:hAnsi="宋体" w:cs="宋体" w:hint="eastAsia"/>
          <w:sz w:val="18"/>
          <w:szCs w:val="18"/>
        </w:rPr>
        <w:t>表</w:t>
      </w:r>
      <w:r w:rsidR="00EB68F9">
        <w:rPr>
          <w:rFonts w:ascii="宋体" w:hAnsi="宋体" w:cs="宋体"/>
          <w:sz w:val="18"/>
          <w:szCs w:val="18"/>
        </w:rPr>
        <w:t>3</w:t>
      </w:r>
      <w:r>
        <w:rPr>
          <w:rFonts w:ascii="宋体" w:hAnsi="宋体" w:cs="宋体" w:hint="eastAsia"/>
          <w:sz w:val="18"/>
          <w:szCs w:val="18"/>
        </w:rPr>
        <w:t xml:space="preserve"> 铅的线性测试结果</w:t>
      </w:r>
    </w:p>
    <w:tbl>
      <w:tblPr>
        <w:tblStyle w:val="ae"/>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315"/>
        <w:gridCol w:w="2131"/>
        <w:gridCol w:w="2131"/>
      </w:tblGrid>
      <w:tr w:rsidR="000F0468">
        <w:trPr>
          <w:trHeight w:val="397"/>
          <w:jc w:val="center"/>
        </w:trPr>
        <w:tc>
          <w:tcPr>
            <w:tcW w:w="1140" w:type="pct"/>
            <w:vAlign w:val="center"/>
          </w:tcPr>
          <w:p w:rsidR="000F0468" w:rsidRDefault="00BF6AFD">
            <w:pPr>
              <w:adjustRightInd w:val="0"/>
              <w:snapToGrid w:val="0"/>
              <w:spacing w:line="300" w:lineRule="auto"/>
              <w:jc w:val="center"/>
              <w:rPr>
                <w:rFonts w:ascii="宋体" w:hAnsi="宋体" w:cs="宋体"/>
                <w:sz w:val="18"/>
                <w:szCs w:val="18"/>
              </w:rPr>
            </w:pPr>
            <w:r>
              <w:rPr>
                <w:rFonts w:ascii="宋体" w:hAnsi="宋体" w:cs="宋体" w:hint="eastAsia"/>
                <w:sz w:val="18"/>
                <w:szCs w:val="18"/>
              </w:rPr>
              <w:t>浓度（μg/mL）</w:t>
            </w:r>
          </w:p>
        </w:tc>
        <w:tc>
          <w:tcPr>
            <w:tcW w:w="1358" w:type="pct"/>
            <w:vAlign w:val="center"/>
          </w:tcPr>
          <w:p w:rsidR="000F0468" w:rsidRDefault="00BF6AFD">
            <w:pPr>
              <w:adjustRightInd w:val="0"/>
              <w:snapToGrid w:val="0"/>
              <w:spacing w:line="300" w:lineRule="auto"/>
              <w:jc w:val="center"/>
              <w:rPr>
                <w:rFonts w:ascii="宋体" w:hAnsi="宋体" w:cs="宋体"/>
                <w:sz w:val="18"/>
                <w:szCs w:val="18"/>
              </w:rPr>
            </w:pPr>
            <w:r>
              <w:rPr>
                <w:rFonts w:ascii="宋体" w:hAnsi="宋体" w:cs="宋体" w:hint="eastAsia"/>
                <w:sz w:val="18"/>
                <w:szCs w:val="18"/>
              </w:rPr>
              <w:t>荧光强度值1</w:t>
            </w:r>
          </w:p>
        </w:tc>
        <w:tc>
          <w:tcPr>
            <w:tcW w:w="1250" w:type="pct"/>
            <w:vAlign w:val="center"/>
          </w:tcPr>
          <w:p w:rsidR="000F0468" w:rsidRDefault="00BF6AFD">
            <w:pPr>
              <w:adjustRightInd w:val="0"/>
              <w:snapToGrid w:val="0"/>
              <w:spacing w:line="300" w:lineRule="auto"/>
              <w:jc w:val="center"/>
              <w:rPr>
                <w:rFonts w:ascii="宋体" w:hAnsi="宋体" w:cs="宋体"/>
                <w:sz w:val="18"/>
                <w:szCs w:val="18"/>
              </w:rPr>
            </w:pPr>
            <w:r>
              <w:rPr>
                <w:rFonts w:ascii="宋体" w:hAnsi="宋体" w:cs="宋体" w:hint="eastAsia"/>
                <w:sz w:val="18"/>
                <w:szCs w:val="18"/>
              </w:rPr>
              <w:t>荧光强度值2</w:t>
            </w:r>
          </w:p>
        </w:tc>
        <w:tc>
          <w:tcPr>
            <w:tcW w:w="1250" w:type="pct"/>
            <w:vAlign w:val="center"/>
          </w:tcPr>
          <w:p w:rsidR="000F0468" w:rsidRDefault="00BF6AFD">
            <w:pPr>
              <w:adjustRightInd w:val="0"/>
              <w:snapToGrid w:val="0"/>
              <w:spacing w:line="300" w:lineRule="auto"/>
              <w:jc w:val="center"/>
              <w:rPr>
                <w:rFonts w:ascii="宋体" w:hAnsi="宋体" w:cs="宋体"/>
                <w:sz w:val="18"/>
                <w:szCs w:val="18"/>
              </w:rPr>
            </w:pPr>
            <w:r>
              <w:rPr>
                <w:rFonts w:ascii="宋体" w:hAnsi="宋体" w:cs="宋体" w:hint="eastAsia"/>
                <w:sz w:val="18"/>
                <w:szCs w:val="18"/>
              </w:rPr>
              <w:t>荧光强度值3</w:t>
            </w:r>
          </w:p>
        </w:tc>
      </w:tr>
      <w:tr w:rsidR="000F0468">
        <w:trPr>
          <w:trHeight w:val="397"/>
          <w:jc w:val="center"/>
        </w:trPr>
        <w:tc>
          <w:tcPr>
            <w:tcW w:w="114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0</w:t>
            </w:r>
          </w:p>
        </w:tc>
        <w:tc>
          <w:tcPr>
            <w:tcW w:w="1358"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7.989</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7.990</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7.989</w:t>
            </w:r>
          </w:p>
        </w:tc>
      </w:tr>
      <w:tr w:rsidR="000F0468">
        <w:trPr>
          <w:trHeight w:val="397"/>
          <w:jc w:val="center"/>
        </w:trPr>
        <w:tc>
          <w:tcPr>
            <w:tcW w:w="114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0.004</w:t>
            </w:r>
          </w:p>
        </w:tc>
        <w:tc>
          <w:tcPr>
            <w:tcW w:w="1358"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588.991</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588.993</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588.989</w:t>
            </w:r>
          </w:p>
        </w:tc>
      </w:tr>
      <w:tr w:rsidR="000F0468">
        <w:trPr>
          <w:trHeight w:val="397"/>
          <w:jc w:val="center"/>
        </w:trPr>
        <w:tc>
          <w:tcPr>
            <w:tcW w:w="114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0.008</w:t>
            </w:r>
          </w:p>
        </w:tc>
        <w:tc>
          <w:tcPr>
            <w:tcW w:w="1358"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1116.944</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1116.946</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1116.940</w:t>
            </w:r>
          </w:p>
        </w:tc>
      </w:tr>
      <w:tr w:rsidR="000F0468">
        <w:trPr>
          <w:trHeight w:val="397"/>
          <w:jc w:val="center"/>
        </w:trPr>
        <w:tc>
          <w:tcPr>
            <w:tcW w:w="114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lastRenderedPageBreak/>
              <w:t>0.012</w:t>
            </w:r>
          </w:p>
        </w:tc>
        <w:tc>
          <w:tcPr>
            <w:tcW w:w="1358"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1647.616</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1647.611</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1647.612</w:t>
            </w:r>
          </w:p>
        </w:tc>
      </w:tr>
      <w:tr w:rsidR="000F0468">
        <w:trPr>
          <w:trHeight w:val="397"/>
          <w:jc w:val="center"/>
        </w:trPr>
        <w:tc>
          <w:tcPr>
            <w:tcW w:w="114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0.016</w:t>
            </w:r>
          </w:p>
        </w:tc>
        <w:tc>
          <w:tcPr>
            <w:tcW w:w="1358"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2113.245</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2113.246</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2113.222</w:t>
            </w:r>
          </w:p>
        </w:tc>
      </w:tr>
      <w:tr w:rsidR="000F0468">
        <w:trPr>
          <w:trHeight w:val="397"/>
          <w:jc w:val="center"/>
        </w:trPr>
        <w:tc>
          <w:tcPr>
            <w:tcW w:w="114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线性方程</w:t>
            </w:r>
          </w:p>
        </w:tc>
        <w:tc>
          <w:tcPr>
            <w:tcW w:w="1358"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y = 131728x + 41.130</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y = 131728x + 41.129</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y = 131727x + 41.133</w:t>
            </w:r>
          </w:p>
        </w:tc>
      </w:tr>
      <w:tr w:rsidR="000F0468">
        <w:trPr>
          <w:trHeight w:val="397"/>
          <w:jc w:val="center"/>
        </w:trPr>
        <w:tc>
          <w:tcPr>
            <w:tcW w:w="114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R</w:t>
            </w:r>
          </w:p>
        </w:tc>
        <w:tc>
          <w:tcPr>
            <w:tcW w:w="1358"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0.999</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0.999</w:t>
            </w:r>
          </w:p>
        </w:tc>
        <w:tc>
          <w:tcPr>
            <w:tcW w:w="1250" w:type="pct"/>
            <w:vAlign w:val="center"/>
          </w:tcPr>
          <w:p w:rsidR="000F0468" w:rsidRDefault="00BF6AFD">
            <w:pPr>
              <w:adjustRightInd w:val="0"/>
              <w:snapToGrid w:val="0"/>
              <w:spacing w:line="300" w:lineRule="auto"/>
              <w:jc w:val="center"/>
              <w:rPr>
                <w:rFonts w:ascii="宋体" w:hAnsi="宋体" w:cs="宋体"/>
                <w:sz w:val="20"/>
                <w:szCs w:val="20"/>
              </w:rPr>
            </w:pPr>
            <w:r>
              <w:rPr>
                <w:rFonts w:ascii="宋体" w:hAnsi="宋体" w:cs="宋体" w:hint="eastAsia"/>
                <w:sz w:val="20"/>
                <w:szCs w:val="20"/>
              </w:rPr>
              <w:t>0.999</w:t>
            </w:r>
          </w:p>
        </w:tc>
      </w:tr>
    </w:tbl>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由上述试验结果可知，铅含量在（0</w:t>
      </w:r>
      <w:r>
        <w:rPr>
          <w:rFonts w:ascii="Times New Roman" w:hAnsi="Times New Roman"/>
          <w:szCs w:val="21"/>
        </w:rPr>
        <w:t>~</w:t>
      </w:r>
      <w:r>
        <w:rPr>
          <w:rFonts w:ascii="宋体" w:hAnsi="宋体" w:cs="宋体" w:hint="eastAsia"/>
          <w:szCs w:val="21"/>
        </w:rPr>
        <w:t>0.016）μg/mL范围内，相关系数R值均大于0.995，线性良好。</w:t>
      </w:r>
    </w:p>
    <w:p w:rsidR="000F0468" w:rsidRDefault="00BF6AFD">
      <w:pPr>
        <w:pStyle w:val="a0"/>
        <w:spacing w:before="156" w:after="156"/>
        <w:rPr>
          <w:sz w:val="24"/>
          <w:szCs w:val="24"/>
        </w:rPr>
      </w:pPr>
      <w:r>
        <w:rPr>
          <w:rFonts w:hint="eastAsia"/>
          <w:sz w:val="24"/>
          <w:szCs w:val="24"/>
        </w:rPr>
        <w:t>正确度及精密度</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样品选取了不含铅的工业六水氯化镁和无水氯化镁产品，添加了低、中、高三个加标浓度水平（0.2mg/kg、0.4mg/kg、0.8mg/kg），每个浓度水平平行测定7次，以7次荧光强度值的相对标准偏差作为实验室内变异系数，具体数据见表4。</w:t>
      </w:r>
    </w:p>
    <w:p w:rsidR="000F0468" w:rsidRDefault="00BF6AFD">
      <w:pPr>
        <w:spacing w:line="360" w:lineRule="auto"/>
        <w:jc w:val="center"/>
        <w:rPr>
          <w:rFonts w:ascii="宋体" w:hAnsi="宋体" w:cs="宋体"/>
          <w:sz w:val="18"/>
          <w:szCs w:val="18"/>
        </w:rPr>
      </w:pPr>
      <w:r>
        <w:rPr>
          <w:rFonts w:ascii="宋体" w:hAnsi="宋体" w:cs="宋体" w:hint="eastAsia"/>
          <w:sz w:val="18"/>
          <w:szCs w:val="18"/>
        </w:rPr>
        <w:t>表</w:t>
      </w:r>
      <w:r w:rsidR="00EB68F9">
        <w:rPr>
          <w:rFonts w:ascii="宋体" w:hAnsi="宋体" w:cs="宋体"/>
          <w:sz w:val="18"/>
          <w:szCs w:val="18"/>
        </w:rPr>
        <w:t>4</w:t>
      </w:r>
      <w:r>
        <w:rPr>
          <w:rFonts w:ascii="宋体" w:hAnsi="宋体" w:cs="宋体" w:hint="eastAsia"/>
          <w:sz w:val="18"/>
          <w:szCs w:val="18"/>
        </w:rPr>
        <w:t xml:space="preserve"> 两类样品铅含量在三种添加水平条件下的回收率及精密度</w:t>
      </w:r>
    </w:p>
    <w:tbl>
      <w:tblPr>
        <w:tblW w:w="9902" w:type="dxa"/>
        <w:jc w:val="center"/>
        <w:tblLayout w:type="fixed"/>
        <w:tblLook w:val="04A0" w:firstRow="1" w:lastRow="0" w:firstColumn="1" w:lastColumn="0" w:noHBand="0" w:noVBand="1"/>
      </w:tblPr>
      <w:tblGrid>
        <w:gridCol w:w="1035"/>
        <w:gridCol w:w="1090"/>
        <w:gridCol w:w="1035"/>
        <w:gridCol w:w="1035"/>
        <w:gridCol w:w="1035"/>
        <w:gridCol w:w="1035"/>
        <w:gridCol w:w="1035"/>
        <w:gridCol w:w="1035"/>
        <w:gridCol w:w="955"/>
        <w:gridCol w:w="612"/>
      </w:tblGrid>
      <w:tr w:rsidR="000F0468">
        <w:trPr>
          <w:trHeight w:val="283"/>
          <w:tblHeader/>
          <w:jc w:val="center"/>
        </w:trPr>
        <w:tc>
          <w:tcPr>
            <w:tcW w:w="103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样品</w:t>
            </w:r>
          </w:p>
        </w:tc>
        <w:tc>
          <w:tcPr>
            <w:tcW w:w="109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结果</w:t>
            </w:r>
          </w:p>
        </w:tc>
        <w:tc>
          <w:tcPr>
            <w:tcW w:w="103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测定值1</w:t>
            </w:r>
          </w:p>
        </w:tc>
        <w:tc>
          <w:tcPr>
            <w:tcW w:w="103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测定值2</w:t>
            </w:r>
          </w:p>
        </w:tc>
        <w:tc>
          <w:tcPr>
            <w:tcW w:w="103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测定值3</w:t>
            </w:r>
          </w:p>
        </w:tc>
        <w:tc>
          <w:tcPr>
            <w:tcW w:w="103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测定值4</w:t>
            </w:r>
          </w:p>
        </w:tc>
        <w:tc>
          <w:tcPr>
            <w:tcW w:w="103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测定值5</w:t>
            </w:r>
          </w:p>
        </w:tc>
        <w:tc>
          <w:tcPr>
            <w:tcW w:w="103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测定值6</w:t>
            </w:r>
          </w:p>
        </w:tc>
        <w:tc>
          <w:tcPr>
            <w:tcW w:w="955"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测定值7</w:t>
            </w:r>
          </w:p>
        </w:tc>
        <w:tc>
          <w:tcPr>
            <w:tcW w:w="612"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CV%</w:t>
            </w:r>
          </w:p>
        </w:tc>
      </w:tr>
      <w:tr w:rsidR="000F0468">
        <w:trPr>
          <w:trHeight w:val="283"/>
          <w:tblHeader/>
          <w:jc w:val="center"/>
        </w:trPr>
        <w:tc>
          <w:tcPr>
            <w:tcW w:w="10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六水氯化镁+0.2mg/kg</w:t>
            </w: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荧光强度值</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567.195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562.865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546.05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559.845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565.098</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565.070 </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558.979</w:t>
            </w:r>
          </w:p>
        </w:tc>
        <w:tc>
          <w:tcPr>
            <w:tcW w:w="61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1.3 </w:t>
            </w:r>
          </w:p>
        </w:tc>
      </w:tr>
      <w:tr w:rsidR="000F0468">
        <w:trPr>
          <w:trHeight w:val="283"/>
          <w:tblHeader/>
          <w:jc w:val="center"/>
        </w:trPr>
        <w:tc>
          <w:tcPr>
            <w:tcW w:w="10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5"/>
                <w:szCs w:val="15"/>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铅含量mg/kg</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0.1935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0.201</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0.1995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0.1935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0.1985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0.2005</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0.2005</w:t>
            </w:r>
          </w:p>
        </w:tc>
        <w:tc>
          <w:tcPr>
            <w:tcW w:w="61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5"/>
                <w:szCs w:val="15"/>
              </w:rPr>
            </w:pPr>
          </w:p>
        </w:tc>
        <w:tc>
          <w:tcPr>
            <w:tcW w:w="109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回收率%</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96.75</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100.5</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99.75</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96.75</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99.25</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100.25</w:t>
            </w:r>
          </w:p>
        </w:tc>
        <w:tc>
          <w:tcPr>
            <w:tcW w:w="95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100.25</w:t>
            </w:r>
          </w:p>
        </w:tc>
        <w:tc>
          <w:tcPr>
            <w:tcW w:w="61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val="restart"/>
            <w:tcBorders>
              <w:top w:val="nil"/>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六水氯化镁+0.4mg/kg</w:t>
            </w:r>
          </w:p>
        </w:tc>
        <w:tc>
          <w:tcPr>
            <w:tcW w:w="1090"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荧光强度值</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1126.333</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1142.73</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1104.373</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1174.013</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1157.568</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1073.473</w:t>
            </w:r>
          </w:p>
        </w:tc>
        <w:tc>
          <w:tcPr>
            <w:tcW w:w="95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1065.235</w:t>
            </w:r>
          </w:p>
        </w:tc>
        <w:tc>
          <w:tcPr>
            <w:tcW w:w="612"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3.7 </w:t>
            </w:r>
          </w:p>
        </w:tc>
      </w:tr>
      <w:tr w:rsidR="000F0468">
        <w:trPr>
          <w:trHeight w:val="283"/>
          <w:tblHeader/>
          <w:jc w:val="center"/>
        </w:trPr>
        <w:tc>
          <w:tcPr>
            <w:tcW w:w="1035" w:type="dxa"/>
            <w:vMerge/>
            <w:tcBorders>
              <w:top w:val="nil"/>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5"/>
                <w:szCs w:val="15"/>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铅含量mg/kg</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0.4185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0.399</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0.397</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0.40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0.399</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0.3925</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0.3935</w:t>
            </w:r>
          </w:p>
        </w:tc>
        <w:tc>
          <w:tcPr>
            <w:tcW w:w="612"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tcBorders>
              <w:top w:val="nil"/>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5"/>
                <w:szCs w:val="15"/>
              </w:rPr>
            </w:pPr>
          </w:p>
        </w:tc>
        <w:tc>
          <w:tcPr>
            <w:tcW w:w="109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回收率%</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104.63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99.75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99.25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100.25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99.75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98.13 </w:t>
            </w:r>
          </w:p>
        </w:tc>
        <w:tc>
          <w:tcPr>
            <w:tcW w:w="95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98.38 </w:t>
            </w:r>
          </w:p>
        </w:tc>
        <w:tc>
          <w:tcPr>
            <w:tcW w:w="612"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val="restart"/>
            <w:tcBorders>
              <w:top w:val="nil"/>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六水氯化镁+0.8mg/kg</w:t>
            </w:r>
          </w:p>
        </w:tc>
        <w:tc>
          <w:tcPr>
            <w:tcW w:w="1090"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荧光强度值</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2151.855</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2076.363</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2150.955</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2088.27</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2064.698</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2083.482</w:t>
            </w:r>
          </w:p>
        </w:tc>
        <w:tc>
          <w:tcPr>
            <w:tcW w:w="95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2004.99</w:t>
            </w:r>
          </w:p>
        </w:tc>
        <w:tc>
          <w:tcPr>
            <w:tcW w:w="612"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3.1 </w:t>
            </w:r>
          </w:p>
        </w:tc>
      </w:tr>
      <w:tr w:rsidR="000F0468">
        <w:trPr>
          <w:trHeight w:val="283"/>
          <w:tblHeader/>
          <w:jc w:val="center"/>
        </w:trPr>
        <w:tc>
          <w:tcPr>
            <w:tcW w:w="1035" w:type="dxa"/>
            <w:vMerge/>
            <w:tcBorders>
              <w:top w:val="nil"/>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铅含量mg/kg</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0.7925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0.7645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0.7923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0.7689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0.7601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0.7671 </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0.7379 </w:t>
            </w:r>
          </w:p>
        </w:tc>
        <w:tc>
          <w:tcPr>
            <w:tcW w:w="612"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tcBorders>
              <w:top w:val="nil"/>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09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回收率%</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99.05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95.56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99.04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96.12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95.02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95.89 </w:t>
            </w:r>
          </w:p>
        </w:tc>
        <w:tc>
          <w:tcPr>
            <w:tcW w:w="95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92.23 </w:t>
            </w:r>
          </w:p>
        </w:tc>
        <w:tc>
          <w:tcPr>
            <w:tcW w:w="612"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val="restart"/>
            <w:tcBorders>
              <w:top w:val="nil"/>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无水氯化镁+0.2mg/kg</w:t>
            </w:r>
          </w:p>
        </w:tc>
        <w:tc>
          <w:tcPr>
            <w:tcW w:w="1090"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荧光强度值</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510.873</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600.208</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597.928</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602.755</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593.335</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581.475</w:t>
            </w:r>
          </w:p>
        </w:tc>
        <w:tc>
          <w:tcPr>
            <w:tcW w:w="95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564.203</w:t>
            </w:r>
          </w:p>
        </w:tc>
        <w:tc>
          <w:tcPr>
            <w:tcW w:w="612"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5.7 </w:t>
            </w:r>
          </w:p>
        </w:tc>
      </w:tr>
      <w:tr w:rsidR="000F0468">
        <w:trPr>
          <w:trHeight w:val="283"/>
          <w:tblHeader/>
          <w:jc w:val="center"/>
        </w:trPr>
        <w:tc>
          <w:tcPr>
            <w:tcW w:w="1035" w:type="dxa"/>
            <w:vMerge/>
            <w:tcBorders>
              <w:top w:val="nil"/>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5"/>
                <w:szCs w:val="15"/>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铅含量mg/kg</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0.18035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0.2137</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0.21285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0.21465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0.2111</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0.2067</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0.20025</w:t>
            </w:r>
          </w:p>
        </w:tc>
        <w:tc>
          <w:tcPr>
            <w:tcW w:w="612"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tcBorders>
              <w:top w:val="nil"/>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5"/>
                <w:szCs w:val="15"/>
              </w:rPr>
            </w:pPr>
          </w:p>
        </w:tc>
        <w:tc>
          <w:tcPr>
            <w:tcW w:w="109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回收率%</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90.18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106.85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106.43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107.33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105.55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103.35 </w:t>
            </w:r>
          </w:p>
        </w:tc>
        <w:tc>
          <w:tcPr>
            <w:tcW w:w="95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100.13 </w:t>
            </w:r>
          </w:p>
        </w:tc>
        <w:tc>
          <w:tcPr>
            <w:tcW w:w="612"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val="restart"/>
            <w:tcBorders>
              <w:top w:val="nil"/>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无水氯化镁+0.4mg/kg</w:t>
            </w:r>
          </w:p>
        </w:tc>
        <w:tc>
          <w:tcPr>
            <w:tcW w:w="1090"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荧光强度值</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1014.297</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1065.843</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1066.23</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1083.66</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1095.635</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1057.46</w:t>
            </w:r>
          </w:p>
        </w:tc>
        <w:tc>
          <w:tcPr>
            <w:tcW w:w="95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1043.743</w:t>
            </w:r>
          </w:p>
        </w:tc>
        <w:tc>
          <w:tcPr>
            <w:tcW w:w="612"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2.5 </w:t>
            </w:r>
          </w:p>
        </w:tc>
      </w:tr>
      <w:tr w:rsidR="000F0468">
        <w:trPr>
          <w:trHeight w:val="283"/>
          <w:tblHeader/>
          <w:jc w:val="center"/>
        </w:trPr>
        <w:tc>
          <w:tcPr>
            <w:tcW w:w="1035" w:type="dxa"/>
            <w:vMerge/>
            <w:tcBorders>
              <w:top w:val="nil"/>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5"/>
                <w:szCs w:val="15"/>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铅含量mg/kg</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0.3682</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0.38745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0.38755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0.39405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0.39855</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0.3843</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0.37915</w:t>
            </w:r>
          </w:p>
        </w:tc>
        <w:tc>
          <w:tcPr>
            <w:tcW w:w="612"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tcBorders>
              <w:top w:val="nil"/>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5"/>
                <w:szCs w:val="15"/>
              </w:rPr>
            </w:pPr>
          </w:p>
        </w:tc>
        <w:tc>
          <w:tcPr>
            <w:tcW w:w="109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回收率%</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92.05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96.86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96.89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98.51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99.64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96.08 </w:t>
            </w:r>
          </w:p>
        </w:tc>
        <w:tc>
          <w:tcPr>
            <w:tcW w:w="95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94.79 </w:t>
            </w:r>
          </w:p>
        </w:tc>
        <w:tc>
          <w:tcPr>
            <w:tcW w:w="612"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val="restart"/>
            <w:tcBorders>
              <w:top w:val="nil"/>
              <w:left w:val="single" w:sz="4" w:space="0" w:color="000000"/>
              <w:bottom w:val="single" w:sz="4"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无水氯化镁+0.8mg/kg</w:t>
            </w:r>
          </w:p>
        </w:tc>
        <w:tc>
          <w:tcPr>
            <w:tcW w:w="1090"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荧光强度值</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1968.311</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2029.738</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1989.48</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2056.008</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1967.663</w:t>
            </w:r>
          </w:p>
        </w:tc>
        <w:tc>
          <w:tcPr>
            <w:tcW w:w="103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1969.582</w:t>
            </w:r>
          </w:p>
        </w:tc>
        <w:tc>
          <w:tcPr>
            <w:tcW w:w="955" w:type="dxa"/>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1967.198</w:t>
            </w:r>
          </w:p>
        </w:tc>
        <w:tc>
          <w:tcPr>
            <w:tcW w:w="612"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2.0 </w:t>
            </w:r>
          </w:p>
        </w:tc>
      </w:tr>
      <w:tr w:rsidR="000F0468">
        <w:trPr>
          <w:trHeight w:val="283"/>
          <w:tblHeader/>
          <w:jc w:val="center"/>
        </w:trPr>
        <w:tc>
          <w:tcPr>
            <w:tcW w:w="1035" w:type="dxa"/>
            <w:vMerge/>
            <w:tcBorders>
              <w:top w:val="nil"/>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铅含量mg/kg</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0.7293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0.7471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0.7321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0.7569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0.7239 </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0.7315</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0.7238 </w:t>
            </w:r>
          </w:p>
        </w:tc>
        <w:tc>
          <w:tcPr>
            <w:tcW w:w="612"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3"/>
          <w:tblHeader/>
          <w:jc w:val="center"/>
        </w:trPr>
        <w:tc>
          <w:tcPr>
            <w:tcW w:w="1035" w:type="dxa"/>
            <w:vMerge/>
            <w:tcBorders>
              <w:top w:val="nil"/>
              <w:left w:val="single" w:sz="4" w:space="0" w:color="000000"/>
              <w:bottom w:val="single" w:sz="4"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09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回收率%</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91.16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93.39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91.51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94.61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90.49 </w:t>
            </w:r>
          </w:p>
        </w:tc>
        <w:tc>
          <w:tcPr>
            <w:tcW w:w="103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91.21 </w:t>
            </w:r>
          </w:p>
        </w:tc>
        <w:tc>
          <w:tcPr>
            <w:tcW w:w="95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90.47 </w:t>
            </w:r>
          </w:p>
        </w:tc>
        <w:tc>
          <w:tcPr>
            <w:tcW w:w="612"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bl>
    <w:p w:rsidR="000F0468" w:rsidRDefault="00BF6AFD">
      <w:pPr>
        <w:spacing w:before="200" w:line="300" w:lineRule="auto"/>
        <w:ind w:firstLineChars="200" w:firstLine="420"/>
      </w:pPr>
      <w:r>
        <w:rPr>
          <w:rFonts w:ascii="宋体" w:hAnsi="宋体" w:cs="宋体" w:hint="eastAsia"/>
          <w:szCs w:val="21"/>
        </w:rPr>
        <w:t>由上述试验结果可以看出，选取的两类样品在低、中、高三个加标浓度水平的回收率在90%</w:t>
      </w:r>
      <w:r>
        <w:rPr>
          <w:rFonts w:ascii="Times New Roman" w:hAnsi="Times New Roman"/>
          <w:szCs w:val="21"/>
        </w:rPr>
        <w:t>~</w:t>
      </w:r>
      <w:r>
        <w:rPr>
          <w:rFonts w:ascii="宋体" w:hAnsi="宋体" w:cs="宋体" w:hint="eastAsia"/>
          <w:szCs w:val="21"/>
        </w:rPr>
        <w:t>110%之间，实验室内变异系数在1.3%</w:t>
      </w:r>
      <w:r>
        <w:rPr>
          <w:rFonts w:ascii="Times New Roman" w:hAnsi="Times New Roman"/>
          <w:szCs w:val="21"/>
        </w:rPr>
        <w:t>~</w:t>
      </w:r>
      <w:r>
        <w:rPr>
          <w:rFonts w:ascii="Times New Roman" w:hAnsi="Times New Roman" w:hint="eastAsia"/>
          <w:szCs w:val="21"/>
        </w:rPr>
        <w:t>5.7%</w:t>
      </w:r>
      <w:r>
        <w:rPr>
          <w:rFonts w:ascii="Times New Roman" w:hAnsi="Times New Roman" w:hint="eastAsia"/>
          <w:szCs w:val="21"/>
        </w:rPr>
        <w:t>，</w:t>
      </w:r>
      <w:r>
        <w:rPr>
          <w:rFonts w:ascii="宋体" w:hAnsi="宋体" w:cs="宋体" w:hint="eastAsia"/>
          <w:szCs w:val="21"/>
        </w:rPr>
        <w:t>符合GB/T 27417-2017《合格评定化学分析方法确认和验证指南》中相应的要求。</w:t>
      </w:r>
    </w:p>
    <w:p w:rsidR="000F0468" w:rsidRDefault="00BF6AFD">
      <w:pPr>
        <w:pStyle w:val="a"/>
        <w:numPr>
          <w:ilvl w:val="0"/>
          <w:numId w:val="3"/>
        </w:numPr>
        <w:spacing w:beforeLines="50" w:before="156" w:afterLines="50" w:after="156" w:line="300" w:lineRule="auto"/>
        <w:rPr>
          <w:rFonts w:ascii="宋体" w:hAnsi="宋体" w:cs="宋体"/>
          <w:szCs w:val="21"/>
        </w:rPr>
      </w:pPr>
      <w:r>
        <w:rPr>
          <w:rFonts w:ascii="宋体" w:hAnsi="宋体" w:cs="宋体" w:hint="eastAsia"/>
          <w:sz w:val="24"/>
          <w:szCs w:val="24"/>
        </w:rPr>
        <w:t>六价铬的试验方法验证</w:t>
      </w:r>
    </w:p>
    <w:p w:rsidR="000F0468" w:rsidRDefault="00BF6AFD">
      <w:pPr>
        <w:pStyle w:val="a0"/>
        <w:spacing w:before="156" w:after="156" w:line="300" w:lineRule="auto"/>
        <w:rPr>
          <w:rFonts w:ascii="宋体" w:eastAsia="宋体" w:hAnsi="宋体" w:cs="宋体"/>
          <w:b/>
          <w:bCs/>
          <w:sz w:val="22"/>
          <w:szCs w:val="22"/>
        </w:rPr>
      </w:pPr>
      <w:r>
        <w:rPr>
          <w:rFonts w:ascii="宋体" w:eastAsia="宋体" w:hAnsi="宋体" w:cs="宋体" w:hint="eastAsia"/>
          <w:b/>
          <w:bCs/>
          <w:sz w:val="22"/>
          <w:szCs w:val="22"/>
        </w:rPr>
        <w:t>方法选择的依据</w:t>
      </w:r>
    </w:p>
    <w:p w:rsidR="000F0468" w:rsidRDefault="00BF6AFD">
      <w:pPr>
        <w:pStyle w:val="a1"/>
        <w:spacing w:before="156" w:after="156" w:line="300" w:lineRule="auto"/>
        <w:rPr>
          <w:rFonts w:ascii="宋体" w:eastAsia="宋体" w:hAnsi="宋体" w:cs="宋体"/>
        </w:rPr>
      </w:pPr>
      <w:r>
        <w:rPr>
          <w:rFonts w:ascii="宋体" w:eastAsia="宋体" w:hAnsi="宋体" w:cs="宋体" w:hint="eastAsia"/>
        </w:rPr>
        <w:lastRenderedPageBreak/>
        <w:t>分光光度法（二苯碳酰二肼法）的适用性</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六价铬在酸性条件下，与二苯碳酰二肼（DPC）反应生成稳定的紫红色络合物，具有高选择性和灵敏度，其最大吸收波长为540nm，通过分光光度法测定吸光度值，可测的样品中的含量，该法已在水质及化妆品检测中广泛应用。</w:t>
      </w:r>
    </w:p>
    <w:p w:rsidR="000F0468" w:rsidRDefault="00BF6AFD">
      <w:pPr>
        <w:pStyle w:val="a1"/>
        <w:spacing w:before="156" w:after="156"/>
        <w:rPr>
          <w:rFonts w:ascii="宋体" w:eastAsia="宋体" w:hAnsi="宋体" w:cs="宋体"/>
        </w:rPr>
      </w:pPr>
      <w:r>
        <w:rPr>
          <w:rFonts w:ascii="宋体" w:eastAsia="宋体" w:hAnsi="宋体" w:cs="宋体" w:hint="eastAsia"/>
        </w:rPr>
        <w:t>工业氯化镁基质的兼容性</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氯化镁易溶于水，通过酸化调节，前处理加入磷酸，可以有效消除离子干扰。</w:t>
      </w:r>
    </w:p>
    <w:p w:rsidR="000F0468" w:rsidRDefault="00BF6AFD">
      <w:pPr>
        <w:pStyle w:val="a1"/>
        <w:spacing w:before="156" w:after="156"/>
        <w:rPr>
          <w:rFonts w:ascii="宋体" w:eastAsia="宋体" w:hAnsi="宋体" w:cs="宋体"/>
        </w:rPr>
      </w:pPr>
      <w:r>
        <w:rPr>
          <w:rFonts w:ascii="宋体" w:eastAsia="宋体" w:hAnsi="宋体" w:cs="宋体" w:hint="eastAsia"/>
        </w:rPr>
        <w:t>标准曲线法</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通过已知浓度的六价铬标准溶液建立线性关系，能够准确定量。</w:t>
      </w:r>
    </w:p>
    <w:p w:rsidR="000F0468" w:rsidRDefault="00BF6AFD">
      <w:pPr>
        <w:pStyle w:val="a0"/>
        <w:spacing w:before="156" w:after="156" w:line="300" w:lineRule="auto"/>
        <w:rPr>
          <w:rFonts w:ascii="宋体" w:eastAsia="宋体" w:hAnsi="宋体" w:cs="宋体"/>
          <w:b/>
          <w:bCs/>
        </w:rPr>
      </w:pPr>
      <w:r>
        <w:rPr>
          <w:rFonts w:ascii="宋体" w:eastAsia="宋体" w:hAnsi="宋体" w:cs="宋体" w:hint="eastAsia"/>
          <w:b/>
          <w:bCs/>
        </w:rPr>
        <w:t>校正与线性</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取50mL比色管6支，分别加入六价铬标准工作液（</w:t>
      </w:r>
      <w:r>
        <w:rPr>
          <w:rFonts w:ascii="宋体" w:hAnsi="宋体" w:cs="宋体" w:hint="eastAsia"/>
          <w:kern w:val="0"/>
          <w:szCs w:val="21"/>
        </w:rPr>
        <w:t>10μg/mL</w:t>
      </w:r>
      <w:r>
        <w:rPr>
          <w:rFonts w:ascii="宋体" w:hAnsi="宋体" w:cs="宋体" w:hint="eastAsia"/>
          <w:szCs w:val="21"/>
        </w:rPr>
        <w:t>）0mL、0.2mL、0.4mL、0.6mL、0.8mL和1mL，加水约40mL，加入2mL二苯碳酰二肼显色剂（</w:t>
      </w:r>
      <w:r>
        <w:rPr>
          <w:rFonts w:ascii="宋体" w:hAnsi="宋体" w:cs="宋体" w:hint="eastAsia"/>
        </w:rPr>
        <w:t>2.5g/L</w:t>
      </w:r>
      <w:r>
        <w:rPr>
          <w:rFonts w:ascii="宋体" w:hAnsi="宋体" w:cs="宋体" w:hint="eastAsia"/>
          <w:szCs w:val="21"/>
        </w:rPr>
        <w:t>），用硫酸溶液（</w:t>
      </w:r>
      <w:r>
        <w:rPr>
          <w:rFonts w:ascii="宋体" w:hAnsi="宋体" w:cs="宋体" w:hint="eastAsia"/>
        </w:rPr>
        <w:t>1+7</w:t>
      </w:r>
      <w:r>
        <w:rPr>
          <w:rFonts w:ascii="宋体" w:hAnsi="宋体" w:cs="宋体" w:hint="eastAsia"/>
          <w:szCs w:val="21"/>
        </w:rPr>
        <w:t>）调节pH呈酸性（pH=2±0.5），用水稀释至刻度，混匀，显色10min后待测。独立进行重复性试验3次，计算其线性，具体数据见表5。</w:t>
      </w:r>
    </w:p>
    <w:p w:rsidR="000F0468" w:rsidRDefault="00BF6AFD">
      <w:pPr>
        <w:spacing w:line="300" w:lineRule="auto"/>
        <w:jc w:val="center"/>
        <w:rPr>
          <w:rFonts w:ascii="宋体" w:hAnsi="宋体" w:cs="宋体"/>
          <w:sz w:val="18"/>
          <w:szCs w:val="18"/>
        </w:rPr>
      </w:pPr>
      <w:r>
        <w:rPr>
          <w:rFonts w:ascii="宋体" w:hAnsi="宋体" w:cs="宋体" w:hint="eastAsia"/>
          <w:sz w:val="18"/>
          <w:szCs w:val="18"/>
        </w:rPr>
        <w:t>表</w:t>
      </w:r>
      <w:r w:rsidR="00EB68F9">
        <w:rPr>
          <w:rFonts w:ascii="宋体" w:hAnsi="宋体" w:cs="宋体"/>
          <w:sz w:val="18"/>
          <w:szCs w:val="18"/>
        </w:rPr>
        <w:t>5</w:t>
      </w:r>
      <w:r>
        <w:rPr>
          <w:rFonts w:ascii="宋体" w:hAnsi="宋体" w:cs="宋体" w:hint="eastAsia"/>
          <w:sz w:val="18"/>
          <w:szCs w:val="18"/>
        </w:rPr>
        <w:t xml:space="preserve"> 六价铬的线性测试结果</w:t>
      </w:r>
    </w:p>
    <w:tbl>
      <w:tblPr>
        <w:tblStyle w:val="ae"/>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315"/>
        <w:gridCol w:w="2131"/>
        <w:gridCol w:w="2131"/>
      </w:tblGrid>
      <w:tr w:rsidR="000F0468">
        <w:trPr>
          <w:trHeight w:val="397"/>
        </w:trPr>
        <w:tc>
          <w:tcPr>
            <w:tcW w:w="1139" w:type="pct"/>
            <w:vAlign w:val="center"/>
          </w:tcPr>
          <w:p w:rsidR="000F0468" w:rsidRDefault="00BF6AFD">
            <w:pPr>
              <w:adjustRightInd w:val="0"/>
              <w:snapToGrid w:val="0"/>
              <w:jc w:val="center"/>
              <w:rPr>
                <w:rFonts w:ascii="宋体" w:hAnsi="宋体" w:cs="宋体"/>
                <w:sz w:val="18"/>
                <w:szCs w:val="18"/>
              </w:rPr>
            </w:pPr>
            <w:r>
              <w:rPr>
                <w:rFonts w:ascii="宋体" w:hAnsi="宋体" w:cs="宋体" w:hint="eastAsia"/>
                <w:sz w:val="18"/>
                <w:szCs w:val="18"/>
              </w:rPr>
              <w:t>浓度（μg）</w:t>
            </w:r>
          </w:p>
        </w:tc>
        <w:tc>
          <w:tcPr>
            <w:tcW w:w="1358" w:type="pct"/>
            <w:vAlign w:val="center"/>
          </w:tcPr>
          <w:p w:rsidR="000F0468" w:rsidRDefault="00BF6AFD">
            <w:pPr>
              <w:adjustRightInd w:val="0"/>
              <w:snapToGrid w:val="0"/>
              <w:jc w:val="center"/>
              <w:rPr>
                <w:rFonts w:ascii="宋体" w:hAnsi="宋体" w:cs="宋体"/>
                <w:sz w:val="18"/>
                <w:szCs w:val="18"/>
              </w:rPr>
            </w:pPr>
            <w:r>
              <w:rPr>
                <w:rFonts w:ascii="宋体" w:hAnsi="宋体" w:cs="宋体" w:hint="eastAsia"/>
                <w:sz w:val="18"/>
                <w:szCs w:val="18"/>
              </w:rPr>
              <w:t>吸光值A1</w:t>
            </w:r>
          </w:p>
        </w:tc>
        <w:tc>
          <w:tcPr>
            <w:tcW w:w="1250" w:type="pct"/>
            <w:vAlign w:val="center"/>
          </w:tcPr>
          <w:p w:rsidR="000F0468" w:rsidRDefault="00BF6AFD">
            <w:pPr>
              <w:adjustRightInd w:val="0"/>
              <w:snapToGrid w:val="0"/>
              <w:jc w:val="center"/>
              <w:rPr>
                <w:rFonts w:ascii="宋体" w:hAnsi="宋体" w:cs="宋体"/>
                <w:sz w:val="18"/>
                <w:szCs w:val="18"/>
              </w:rPr>
            </w:pPr>
            <w:r>
              <w:rPr>
                <w:rFonts w:ascii="宋体" w:hAnsi="宋体" w:cs="宋体" w:hint="eastAsia"/>
                <w:sz w:val="18"/>
                <w:szCs w:val="18"/>
              </w:rPr>
              <w:t>吸光值A2</w:t>
            </w:r>
          </w:p>
        </w:tc>
        <w:tc>
          <w:tcPr>
            <w:tcW w:w="1250" w:type="pct"/>
            <w:vAlign w:val="center"/>
          </w:tcPr>
          <w:p w:rsidR="000F0468" w:rsidRDefault="00BF6AFD">
            <w:pPr>
              <w:adjustRightInd w:val="0"/>
              <w:snapToGrid w:val="0"/>
              <w:jc w:val="center"/>
              <w:rPr>
                <w:rFonts w:ascii="宋体" w:hAnsi="宋体" w:cs="宋体"/>
                <w:sz w:val="18"/>
                <w:szCs w:val="18"/>
              </w:rPr>
            </w:pPr>
            <w:r>
              <w:rPr>
                <w:rFonts w:ascii="宋体" w:hAnsi="宋体" w:cs="宋体" w:hint="eastAsia"/>
                <w:sz w:val="18"/>
                <w:szCs w:val="18"/>
              </w:rPr>
              <w:t>吸光值A3</w:t>
            </w:r>
          </w:p>
        </w:tc>
      </w:tr>
      <w:tr w:rsidR="000F0468">
        <w:trPr>
          <w:trHeight w:val="397"/>
        </w:trPr>
        <w:tc>
          <w:tcPr>
            <w:tcW w:w="1139"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w:t>
            </w:r>
          </w:p>
        </w:tc>
        <w:tc>
          <w:tcPr>
            <w:tcW w:w="1358" w:type="pct"/>
            <w:shd w:val="clear" w:color="auto" w:fill="auto"/>
            <w:vAlign w:val="center"/>
          </w:tcPr>
          <w:p w:rsidR="000F0468" w:rsidRDefault="00BF6AFD">
            <w:pPr>
              <w:adjustRightInd w:val="0"/>
              <w:snapToGrid w:val="0"/>
              <w:jc w:val="center"/>
              <w:rPr>
                <w:rFonts w:ascii="等线" w:eastAsia="等线" w:hAnsi="等线" w:cs="等线"/>
                <w:color w:val="000000"/>
                <w:sz w:val="22"/>
              </w:rPr>
            </w:pPr>
            <w:r>
              <w:rPr>
                <w:rFonts w:ascii="宋体" w:hAnsi="宋体" w:cs="宋体" w:hint="eastAsia"/>
                <w:sz w:val="20"/>
                <w:szCs w:val="20"/>
              </w:rPr>
              <w:t>0.0041</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0.0039</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0.0042</w:t>
            </w:r>
          </w:p>
        </w:tc>
      </w:tr>
      <w:tr w:rsidR="000F0468">
        <w:trPr>
          <w:trHeight w:val="397"/>
        </w:trPr>
        <w:tc>
          <w:tcPr>
            <w:tcW w:w="1139"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2</w:t>
            </w:r>
          </w:p>
        </w:tc>
        <w:tc>
          <w:tcPr>
            <w:tcW w:w="1358" w:type="pct"/>
            <w:vAlign w:val="center"/>
          </w:tcPr>
          <w:p w:rsidR="000F0468" w:rsidRDefault="00BF6AFD">
            <w:pPr>
              <w:adjustRightInd w:val="0"/>
              <w:snapToGrid w:val="0"/>
              <w:jc w:val="center"/>
              <w:rPr>
                <w:rFonts w:ascii="宋体" w:hAnsi="宋体" w:cs="宋体"/>
                <w:sz w:val="20"/>
                <w:szCs w:val="20"/>
              </w:rPr>
            </w:pPr>
            <w:r>
              <w:rPr>
                <w:rFonts w:ascii="宋体" w:hAnsi="宋体" w:cs="宋体"/>
                <w:sz w:val="20"/>
                <w:szCs w:val="20"/>
              </w:rPr>
              <w:t>0.1076</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0.1113</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0.1010</w:t>
            </w:r>
          </w:p>
        </w:tc>
      </w:tr>
      <w:tr w:rsidR="000F0468">
        <w:trPr>
          <w:trHeight w:val="397"/>
        </w:trPr>
        <w:tc>
          <w:tcPr>
            <w:tcW w:w="1139"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4</w:t>
            </w:r>
          </w:p>
        </w:tc>
        <w:tc>
          <w:tcPr>
            <w:tcW w:w="1358" w:type="pct"/>
            <w:vAlign w:val="center"/>
          </w:tcPr>
          <w:p w:rsidR="000F0468" w:rsidRDefault="00BF6AFD">
            <w:pPr>
              <w:adjustRightInd w:val="0"/>
              <w:snapToGrid w:val="0"/>
              <w:jc w:val="center"/>
              <w:rPr>
                <w:rFonts w:ascii="宋体" w:hAnsi="宋体" w:cs="宋体"/>
                <w:sz w:val="20"/>
                <w:szCs w:val="20"/>
              </w:rPr>
            </w:pPr>
            <w:r>
              <w:rPr>
                <w:rFonts w:ascii="宋体" w:hAnsi="宋体" w:cs="宋体"/>
                <w:sz w:val="20"/>
                <w:szCs w:val="20"/>
              </w:rPr>
              <w:t>0.1902</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0.2069</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0.1956</w:t>
            </w:r>
          </w:p>
        </w:tc>
      </w:tr>
      <w:tr w:rsidR="000F0468">
        <w:trPr>
          <w:trHeight w:val="397"/>
        </w:trPr>
        <w:tc>
          <w:tcPr>
            <w:tcW w:w="1139"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6</w:t>
            </w:r>
          </w:p>
        </w:tc>
        <w:tc>
          <w:tcPr>
            <w:tcW w:w="1358" w:type="pct"/>
            <w:vAlign w:val="center"/>
          </w:tcPr>
          <w:p w:rsidR="000F0468" w:rsidRDefault="00BF6AFD">
            <w:pPr>
              <w:adjustRightInd w:val="0"/>
              <w:snapToGrid w:val="0"/>
              <w:jc w:val="center"/>
              <w:rPr>
                <w:rFonts w:ascii="宋体" w:hAnsi="宋体" w:cs="宋体"/>
                <w:sz w:val="20"/>
                <w:szCs w:val="20"/>
              </w:rPr>
            </w:pPr>
            <w:r>
              <w:rPr>
                <w:rFonts w:ascii="宋体" w:hAnsi="宋体" w:cs="宋体"/>
                <w:sz w:val="20"/>
                <w:szCs w:val="20"/>
              </w:rPr>
              <w:t>0.2914</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0.2948</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0.2933</w:t>
            </w:r>
          </w:p>
        </w:tc>
      </w:tr>
      <w:tr w:rsidR="000F0468">
        <w:trPr>
          <w:trHeight w:val="397"/>
        </w:trPr>
        <w:tc>
          <w:tcPr>
            <w:tcW w:w="1139"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8</w:t>
            </w:r>
          </w:p>
        </w:tc>
        <w:tc>
          <w:tcPr>
            <w:tcW w:w="1358" w:type="pct"/>
            <w:vAlign w:val="center"/>
          </w:tcPr>
          <w:p w:rsidR="000F0468" w:rsidRDefault="00BF6AFD">
            <w:pPr>
              <w:adjustRightInd w:val="0"/>
              <w:snapToGrid w:val="0"/>
              <w:jc w:val="center"/>
              <w:rPr>
                <w:rFonts w:ascii="宋体" w:hAnsi="宋体" w:cs="宋体"/>
                <w:sz w:val="20"/>
                <w:szCs w:val="20"/>
              </w:rPr>
            </w:pPr>
            <w:r>
              <w:rPr>
                <w:rFonts w:ascii="宋体" w:hAnsi="宋体" w:cs="宋体"/>
                <w:sz w:val="20"/>
                <w:szCs w:val="20"/>
              </w:rPr>
              <w:t>0.3852</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0.3921</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0.3931</w:t>
            </w:r>
          </w:p>
        </w:tc>
      </w:tr>
      <w:tr w:rsidR="000F0468">
        <w:trPr>
          <w:trHeight w:val="397"/>
        </w:trPr>
        <w:tc>
          <w:tcPr>
            <w:tcW w:w="1139"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10</w:t>
            </w:r>
          </w:p>
        </w:tc>
        <w:tc>
          <w:tcPr>
            <w:tcW w:w="1358" w:type="pct"/>
            <w:vAlign w:val="center"/>
          </w:tcPr>
          <w:p w:rsidR="000F0468" w:rsidRDefault="00BF6AFD">
            <w:pPr>
              <w:adjustRightInd w:val="0"/>
              <w:snapToGrid w:val="0"/>
              <w:jc w:val="center"/>
              <w:rPr>
                <w:rFonts w:ascii="宋体" w:hAnsi="宋体" w:cs="宋体"/>
                <w:sz w:val="20"/>
                <w:szCs w:val="20"/>
              </w:rPr>
            </w:pPr>
            <w:r>
              <w:rPr>
                <w:rFonts w:ascii="宋体" w:hAnsi="宋体" w:cs="宋体"/>
                <w:sz w:val="20"/>
                <w:szCs w:val="20"/>
              </w:rPr>
              <w:t>0.4943</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0.4985</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0.4955</w:t>
            </w:r>
          </w:p>
        </w:tc>
      </w:tr>
      <w:tr w:rsidR="000F0468">
        <w:trPr>
          <w:trHeight w:val="397"/>
        </w:trPr>
        <w:tc>
          <w:tcPr>
            <w:tcW w:w="1139"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线性方程</w:t>
            </w:r>
          </w:p>
        </w:tc>
        <w:tc>
          <w:tcPr>
            <w:tcW w:w="1358" w:type="pct"/>
            <w:vAlign w:val="center"/>
          </w:tcPr>
          <w:p w:rsidR="000F0468" w:rsidRDefault="00BF6AFD">
            <w:pPr>
              <w:tabs>
                <w:tab w:val="left" w:pos="465"/>
              </w:tabs>
              <w:adjustRightInd w:val="0"/>
              <w:snapToGrid w:val="0"/>
              <w:jc w:val="left"/>
              <w:rPr>
                <w:rFonts w:ascii="宋体" w:hAnsi="宋体" w:cs="宋体"/>
                <w:sz w:val="20"/>
                <w:szCs w:val="20"/>
              </w:rPr>
            </w:pPr>
            <w:r>
              <w:rPr>
                <w:rFonts w:ascii="宋体" w:hAnsi="宋体" w:cs="宋体" w:hint="eastAsia"/>
                <w:sz w:val="20"/>
                <w:szCs w:val="20"/>
              </w:rPr>
              <w:t>y = 0.0484x + 0.0037</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y = 0.0486x + 0.0082</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y = 0.049x + 0.0021</w:t>
            </w:r>
          </w:p>
        </w:tc>
      </w:tr>
      <w:tr w:rsidR="000F0468">
        <w:trPr>
          <w:trHeight w:val="397"/>
        </w:trPr>
        <w:tc>
          <w:tcPr>
            <w:tcW w:w="1139"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R</w:t>
            </w:r>
          </w:p>
        </w:tc>
        <w:tc>
          <w:tcPr>
            <w:tcW w:w="1358"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0.999</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0.999</w:t>
            </w:r>
          </w:p>
        </w:tc>
        <w:tc>
          <w:tcPr>
            <w:tcW w:w="1250" w:type="pct"/>
            <w:vAlign w:val="center"/>
          </w:tcPr>
          <w:p w:rsidR="000F0468" w:rsidRDefault="00BF6AFD">
            <w:pPr>
              <w:adjustRightInd w:val="0"/>
              <w:snapToGrid w:val="0"/>
              <w:jc w:val="center"/>
              <w:rPr>
                <w:rFonts w:ascii="宋体" w:hAnsi="宋体" w:cs="宋体"/>
                <w:sz w:val="20"/>
                <w:szCs w:val="20"/>
              </w:rPr>
            </w:pPr>
            <w:r>
              <w:rPr>
                <w:rFonts w:ascii="宋体" w:hAnsi="宋体" w:cs="宋体" w:hint="eastAsia"/>
                <w:sz w:val="20"/>
                <w:szCs w:val="20"/>
              </w:rPr>
              <w:t>0.999</w:t>
            </w:r>
          </w:p>
        </w:tc>
      </w:tr>
    </w:tbl>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由上述试验结果可知，六价铬的含量在（0</w:t>
      </w:r>
      <w:r>
        <w:rPr>
          <w:rFonts w:ascii="Times New Roman" w:hAnsi="Times New Roman"/>
          <w:szCs w:val="21"/>
        </w:rPr>
        <w:t>~</w:t>
      </w:r>
      <w:r>
        <w:rPr>
          <w:rFonts w:ascii="宋体" w:hAnsi="宋体" w:cs="宋体" w:hint="eastAsia"/>
          <w:szCs w:val="21"/>
        </w:rPr>
        <w:t>10）μg范围内，相关系数R值均大于0.995，线性良好。</w:t>
      </w:r>
    </w:p>
    <w:p w:rsidR="000F0468" w:rsidRDefault="00BF6AFD">
      <w:pPr>
        <w:pStyle w:val="a0"/>
        <w:spacing w:before="156" w:after="156"/>
        <w:rPr>
          <w:rFonts w:ascii="宋体" w:eastAsia="宋体" w:hAnsi="宋体" w:cs="宋体"/>
          <w:b/>
          <w:bCs/>
        </w:rPr>
      </w:pPr>
      <w:r>
        <w:rPr>
          <w:rFonts w:ascii="宋体" w:eastAsia="宋体" w:hAnsi="宋体" w:cs="宋体" w:hint="eastAsia"/>
          <w:b/>
          <w:bCs/>
        </w:rPr>
        <w:t>干扰消除</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工业氯化镁的中通常含有杂质，会影响吸光值的测定，因此，当样品的水溶液浑浊时，样品前处理过程中增加了必要时用滤纸过滤的步骤。此外，为了消除样品中铁离子对吸光值的影响，加入10%磷酸溶液进行掩蔽。为了验证前处理步骤对测定含量的有效性，设计了未经过前处理步骤的样品和经过前处理步骤处理的样品进行试验，测定回收率的变化评估前处理的有效性。</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lastRenderedPageBreak/>
        <w:t>选取样品不含六价铬的六水氯化镁和无水氯化镁两个样品，分别添加定量限1.0mg/kg浓度水平的六价铬，测定回收率的变化。</w:t>
      </w:r>
    </w:p>
    <w:p w:rsidR="000F0468" w:rsidRDefault="00BF6AFD">
      <w:pPr>
        <w:spacing w:line="300" w:lineRule="auto"/>
        <w:jc w:val="center"/>
        <w:rPr>
          <w:rFonts w:ascii="宋体" w:hAnsi="宋体" w:cs="宋体"/>
          <w:sz w:val="18"/>
          <w:szCs w:val="18"/>
        </w:rPr>
      </w:pPr>
      <w:r>
        <w:rPr>
          <w:rFonts w:ascii="宋体" w:hAnsi="宋体" w:cs="宋体" w:hint="eastAsia"/>
          <w:sz w:val="18"/>
          <w:szCs w:val="18"/>
        </w:rPr>
        <w:t>表</w:t>
      </w:r>
      <w:r w:rsidR="00EB68F9">
        <w:rPr>
          <w:rFonts w:ascii="宋体" w:hAnsi="宋体" w:cs="宋体"/>
          <w:sz w:val="18"/>
          <w:szCs w:val="18"/>
        </w:rPr>
        <w:t>6</w:t>
      </w:r>
      <w:r>
        <w:rPr>
          <w:rFonts w:ascii="宋体" w:hAnsi="宋体" w:cs="宋体" w:hint="eastAsia"/>
          <w:sz w:val="18"/>
          <w:szCs w:val="18"/>
        </w:rPr>
        <w:t xml:space="preserve"> 回收率的变化</w:t>
      </w:r>
    </w:p>
    <w:tbl>
      <w:tblPr>
        <w:tblStyle w:val="ae"/>
        <w:tblW w:w="5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996"/>
        <w:gridCol w:w="1750"/>
        <w:gridCol w:w="870"/>
        <w:gridCol w:w="959"/>
        <w:gridCol w:w="1741"/>
        <w:gridCol w:w="1127"/>
      </w:tblGrid>
      <w:tr w:rsidR="000F0468">
        <w:trPr>
          <w:jc w:val="center"/>
        </w:trPr>
        <w:tc>
          <w:tcPr>
            <w:tcW w:w="686" w:type="pct"/>
            <w:vMerge w:val="restart"/>
            <w:tcBorders>
              <w:lef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样品</w:t>
            </w:r>
          </w:p>
        </w:tc>
        <w:tc>
          <w:tcPr>
            <w:tcW w:w="2095" w:type="pct"/>
            <w:gridSpan w:val="3"/>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未经样品前处理</w:t>
            </w:r>
          </w:p>
        </w:tc>
        <w:tc>
          <w:tcPr>
            <w:tcW w:w="2218" w:type="pct"/>
            <w:gridSpan w:val="3"/>
            <w:tcBorders>
              <w:righ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经样品前处理</w:t>
            </w:r>
          </w:p>
        </w:tc>
      </w:tr>
      <w:tr w:rsidR="000F0468">
        <w:trPr>
          <w:jc w:val="center"/>
        </w:trPr>
        <w:tc>
          <w:tcPr>
            <w:tcW w:w="686" w:type="pct"/>
            <w:vMerge/>
            <w:tcBorders>
              <w:left w:val="single" w:sz="4" w:space="0" w:color="auto"/>
            </w:tcBorders>
            <w:vAlign w:val="center"/>
          </w:tcPr>
          <w:p w:rsidR="000F0468" w:rsidRDefault="000F0468">
            <w:pPr>
              <w:spacing w:line="300" w:lineRule="auto"/>
              <w:jc w:val="center"/>
              <w:rPr>
                <w:rFonts w:ascii="宋体" w:hAnsi="宋体" w:cs="宋体"/>
                <w:sz w:val="18"/>
                <w:szCs w:val="18"/>
              </w:rPr>
            </w:pPr>
          </w:p>
        </w:tc>
        <w:tc>
          <w:tcPr>
            <w:tcW w:w="577" w:type="pct"/>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吸光值</w:t>
            </w:r>
          </w:p>
        </w:tc>
        <w:tc>
          <w:tcPr>
            <w:tcW w:w="1014" w:type="pct"/>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六价铬含量</w:t>
            </w:r>
            <w:r>
              <w:rPr>
                <w:rFonts w:ascii="宋体" w:hAnsi="宋体" w:cs="宋体" w:hint="eastAsia"/>
                <w:szCs w:val="21"/>
              </w:rPr>
              <w:t>mg/kg</w:t>
            </w:r>
          </w:p>
        </w:tc>
        <w:tc>
          <w:tcPr>
            <w:tcW w:w="504" w:type="pct"/>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回收率%</w:t>
            </w:r>
          </w:p>
        </w:tc>
        <w:tc>
          <w:tcPr>
            <w:tcW w:w="556" w:type="pct"/>
            <w:tcBorders>
              <w:righ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吸光值</w:t>
            </w:r>
          </w:p>
        </w:tc>
        <w:tc>
          <w:tcPr>
            <w:tcW w:w="1009" w:type="pct"/>
            <w:tcBorders>
              <w:righ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六价铬含量</w:t>
            </w:r>
            <w:r>
              <w:rPr>
                <w:rFonts w:ascii="宋体" w:hAnsi="宋体" w:cs="宋体" w:hint="eastAsia"/>
                <w:szCs w:val="21"/>
              </w:rPr>
              <w:t>mg/kg</w:t>
            </w:r>
          </w:p>
        </w:tc>
        <w:tc>
          <w:tcPr>
            <w:tcW w:w="652" w:type="pct"/>
            <w:tcBorders>
              <w:righ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回收率%</w:t>
            </w:r>
          </w:p>
        </w:tc>
      </w:tr>
      <w:tr w:rsidR="000F0468">
        <w:trPr>
          <w:jc w:val="center"/>
        </w:trPr>
        <w:tc>
          <w:tcPr>
            <w:tcW w:w="686" w:type="pct"/>
            <w:tcBorders>
              <w:lef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六水氯化镁</w:t>
            </w:r>
          </w:p>
        </w:tc>
        <w:tc>
          <w:tcPr>
            <w:tcW w:w="577" w:type="pct"/>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0.0885</w:t>
            </w:r>
          </w:p>
        </w:tc>
        <w:tc>
          <w:tcPr>
            <w:tcW w:w="1014" w:type="pct"/>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0.70</w:t>
            </w:r>
          </w:p>
        </w:tc>
        <w:tc>
          <w:tcPr>
            <w:tcW w:w="504" w:type="pct"/>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69.9</w:t>
            </w:r>
          </w:p>
        </w:tc>
        <w:tc>
          <w:tcPr>
            <w:tcW w:w="556" w:type="pct"/>
            <w:tcBorders>
              <w:righ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0.1181</w:t>
            </w:r>
          </w:p>
        </w:tc>
        <w:tc>
          <w:tcPr>
            <w:tcW w:w="1009" w:type="pct"/>
            <w:tcBorders>
              <w:righ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0.92</w:t>
            </w:r>
          </w:p>
        </w:tc>
        <w:tc>
          <w:tcPr>
            <w:tcW w:w="652" w:type="pct"/>
            <w:tcBorders>
              <w:righ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92.3</w:t>
            </w:r>
          </w:p>
        </w:tc>
      </w:tr>
      <w:tr w:rsidR="000F0468">
        <w:trPr>
          <w:jc w:val="center"/>
        </w:trPr>
        <w:tc>
          <w:tcPr>
            <w:tcW w:w="686" w:type="pct"/>
            <w:tcBorders>
              <w:lef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无水氯化镁</w:t>
            </w:r>
          </w:p>
        </w:tc>
        <w:tc>
          <w:tcPr>
            <w:tcW w:w="577" w:type="pct"/>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0.0914</w:t>
            </w:r>
          </w:p>
        </w:tc>
        <w:tc>
          <w:tcPr>
            <w:tcW w:w="1014" w:type="pct"/>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0.72</w:t>
            </w:r>
          </w:p>
        </w:tc>
        <w:tc>
          <w:tcPr>
            <w:tcW w:w="504" w:type="pct"/>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72.3</w:t>
            </w:r>
          </w:p>
        </w:tc>
        <w:tc>
          <w:tcPr>
            <w:tcW w:w="556" w:type="pct"/>
            <w:tcBorders>
              <w:righ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0.1192</w:t>
            </w:r>
          </w:p>
        </w:tc>
        <w:tc>
          <w:tcPr>
            <w:tcW w:w="1009" w:type="pct"/>
            <w:tcBorders>
              <w:righ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0.95</w:t>
            </w:r>
          </w:p>
        </w:tc>
        <w:tc>
          <w:tcPr>
            <w:tcW w:w="652" w:type="pct"/>
            <w:tcBorders>
              <w:right w:val="single" w:sz="4" w:space="0" w:color="auto"/>
            </w:tcBorders>
            <w:vAlign w:val="center"/>
          </w:tcPr>
          <w:p w:rsidR="000F0468" w:rsidRDefault="00BF6AFD">
            <w:pPr>
              <w:spacing w:line="300" w:lineRule="auto"/>
              <w:jc w:val="center"/>
              <w:rPr>
                <w:rFonts w:ascii="宋体" w:hAnsi="宋体" w:cs="宋体"/>
                <w:sz w:val="18"/>
                <w:szCs w:val="18"/>
              </w:rPr>
            </w:pPr>
            <w:r>
              <w:rPr>
                <w:rFonts w:ascii="宋体" w:hAnsi="宋体" w:cs="宋体" w:hint="eastAsia"/>
                <w:sz w:val="18"/>
                <w:szCs w:val="18"/>
              </w:rPr>
              <w:t>95.2</w:t>
            </w:r>
          </w:p>
        </w:tc>
      </w:tr>
    </w:tbl>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六水氯化镁经过样品前处理，回收率由69.9%提高至92.3%；无水氯化镁经过样品前处理，回收率由72.3%提高至95.2%。由此证明，酸度控制和磷酸掩蔽有效。</w:t>
      </w:r>
    </w:p>
    <w:p w:rsidR="000F0468" w:rsidRDefault="00BF6AFD">
      <w:pPr>
        <w:pStyle w:val="a0"/>
        <w:spacing w:before="156" w:after="156"/>
        <w:rPr>
          <w:rFonts w:ascii="宋体" w:eastAsia="宋体" w:hAnsi="宋体" w:cs="宋体"/>
          <w:b/>
          <w:bCs/>
        </w:rPr>
      </w:pPr>
      <w:r>
        <w:rPr>
          <w:rFonts w:ascii="宋体" w:eastAsia="宋体" w:hAnsi="宋体" w:cs="宋体" w:hint="eastAsia"/>
          <w:b/>
          <w:bCs/>
        </w:rPr>
        <w:t>方法检出限及定量限</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采用空白偏差法计算得到方法检出限，对空白样品重复测定11次，计算标准偏差S和曲线斜率K，按照公式XLOD=3S/K，得到方法检出限，数据见下表</w:t>
      </w:r>
      <w:r w:rsidR="00EB68F9">
        <w:rPr>
          <w:rFonts w:ascii="宋体" w:hAnsi="宋体" w:cs="宋体"/>
          <w:szCs w:val="21"/>
        </w:rPr>
        <w:t>7</w:t>
      </w:r>
      <w:r>
        <w:rPr>
          <w:rFonts w:ascii="宋体" w:hAnsi="宋体" w:cs="宋体" w:hint="eastAsia"/>
          <w:szCs w:val="21"/>
        </w:rPr>
        <w:t>。</w:t>
      </w:r>
    </w:p>
    <w:p w:rsidR="000F0468" w:rsidRDefault="00BF6AFD">
      <w:pPr>
        <w:spacing w:line="300" w:lineRule="auto"/>
        <w:jc w:val="center"/>
        <w:rPr>
          <w:rFonts w:ascii="宋体" w:hAnsi="宋体" w:cs="宋体"/>
          <w:sz w:val="18"/>
          <w:szCs w:val="18"/>
        </w:rPr>
      </w:pPr>
      <w:r>
        <w:rPr>
          <w:rFonts w:ascii="宋体" w:hAnsi="宋体" w:cs="宋体" w:hint="eastAsia"/>
          <w:sz w:val="18"/>
          <w:szCs w:val="18"/>
        </w:rPr>
        <w:t>表</w:t>
      </w:r>
      <w:r w:rsidR="00EB68F9">
        <w:rPr>
          <w:rFonts w:ascii="宋体" w:hAnsi="宋体" w:cs="宋体"/>
          <w:sz w:val="18"/>
          <w:szCs w:val="18"/>
        </w:rPr>
        <w:t>7</w:t>
      </w:r>
      <w:r>
        <w:rPr>
          <w:rFonts w:ascii="宋体" w:hAnsi="宋体" w:cs="宋体" w:hint="eastAsia"/>
          <w:sz w:val="18"/>
          <w:szCs w:val="18"/>
        </w:rPr>
        <w:t xml:space="preserve"> </w:t>
      </w:r>
      <w:r>
        <w:rPr>
          <w:rFonts w:ascii="宋体" w:hAnsi="宋体" w:cs="宋体" w:hint="eastAsia"/>
          <w:bCs/>
          <w:sz w:val="18"/>
          <w:szCs w:val="18"/>
        </w:rPr>
        <w:t>空白11次重复测定结果</w:t>
      </w:r>
    </w:p>
    <w:tbl>
      <w:tblPr>
        <w:tblW w:w="8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1192"/>
        <w:gridCol w:w="1192"/>
        <w:gridCol w:w="1192"/>
        <w:gridCol w:w="1193"/>
        <w:gridCol w:w="1192"/>
        <w:gridCol w:w="1192"/>
      </w:tblGrid>
      <w:tr w:rsidR="000F0468">
        <w:trPr>
          <w:trHeight w:val="454"/>
          <w:jc w:val="center"/>
        </w:trPr>
        <w:tc>
          <w:tcPr>
            <w:tcW w:w="1316" w:type="dxa"/>
            <w:vAlign w:val="center"/>
          </w:tcPr>
          <w:p w:rsidR="000F0468" w:rsidRDefault="00BF6AFD">
            <w:pPr>
              <w:jc w:val="center"/>
              <w:rPr>
                <w:rFonts w:ascii="宋体" w:hAnsi="宋体" w:cs="宋体"/>
                <w:bCs/>
                <w:szCs w:val="21"/>
              </w:rPr>
            </w:pPr>
            <w:r>
              <w:rPr>
                <w:rFonts w:ascii="宋体" w:hAnsi="宋体" w:cs="宋体" w:hint="eastAsia"/>
                <w:bCs/>
                <w:szCs w:val="21"/>
              </w:rPr>
              <w:t>质量μg</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w:t>
            </w:r>
          </w:p>
        </w:tc>
        <w:tc>
          <w:tcPr>
            <w:tcW w:w="1192" w:type="dxa"/>
            <w:vAlign w:val="center"/>
          </w:tcPr>
          <w:p w:rsidR="000F0468" w:rsidRDefault="00BF6AFD">
            <w:pPr>
              <w:widowControl/>
              <w:jc w:val="center"/>
              <w:textAlignment w:val="center"/>
              <w:rPr>
                <w:rFonts w:ascii="宋体" w:hAnsi="宋体"/>
                <w:color w:val="000000"/>
                <w:sz w:val="22"/>
              </w:rPr>
            </w:pPr>
            <w:r>
              <w:rPr>
                <w:rFonts w:ascii="宋体" w:hAnsi="宋体" w:cs="宋体" w:hint="eastAsia"/>
                <w:color w:val="000000"/>
                <w:kern w:val="0"/>
                <w:sz w:val="22"/>
                <w:lang w:bidi="ar"/>
              </w:rPr>
              <w:t>2</w:t>
            </w:r>
          </w:p>
        </w:tc>
        <w:tc>
          <w:tcPr>
            <w:tcW w:w="1192" w:type="dxa"/>
            <w:vAlign w:val="center"/>
          </w:tcPr>
          <w:p w:rsidR="000F0468" w:rsidRDefault="00BF6AFD">
            <w:pPr>
              <w:widowControl/>
              <w:jc w:val="center"/>
              <w:textAlignment w:val="center"/>
              <w:rPr>
                <w:rFonts w:ascii="宋体" w:hAnsi="宋体"/>
                <w:color w:val="000000"/>
                <w:sz w:val="22"/>
              </w:rPr>
            </w:pPr>
            <w:r>
              <w:rPr>
                <w:rFonts w:ascii="宋体" w:hAnsi="宋体" w:cs="宋体" w:hint="eastAsia"/>
                <w:color w:val="000000"/>
                <w:kern w:val="0"/>
                <w:sz w:val="22"/>
                <w:lang w:bidi="ar"/>
              </w:rPr>
              <w:t>4</w:t>
            </w:r>
          </w:p>
        </w:tc>
        <w:tc>
          <w:tcPr>
            <w:tcW w:w="1193" w:type="dxa"/>
            <w:vAlign w:val="center"/>
          </w:tcPr>
          <w:p w:rsidR="000F0468" w:rsidRDefault="00BF6AFD">
            <w:pPr>
              <w:widowControl/>
              <w:jc w:val="center"/>
              <w:textAlignment w:val="center"/>
              <w:rPr>
                <w:rFonts w:ascii="宋体" w:hAnsi="宋体"/>
                <w:color w:val="000000"/>
                <w:sz w:val="22"/>
              </w:rPr>
            </w:pPr>
            <w:r>
              <w:rPr>
                <w:rFonts w:ascii="宋体" w:hAnsi="宋体" w:cs="宋体" w:hint="eastAsia"/>
                <w:color w:val="000000"/>
                <w:kern w:val="0"/>
                <w:sz w:val="22"/>
                <w:lang w:bidi="ar"/>
              </w:rPr>
              <w:t>6</w:t>
            </w:r>
          </w:p>
        </w:tc>
        <w:tc>
          <w:tcPr>
            <w:tcW w:w="1192" w:type="dxa"/>
            <w:vAlign w:val="center"/>
          </w:tcPr>
          <w:p w:rsidR="000F0468" w:rsidRDefault="00BF6AFD">
            <w:pPr>
              <w:widowControl/>
              <w:jc w:val="center"/>
              <w:textAlignment w:val="center"/>
              <w:rPr>
                <w:rFonts w:ascii="宋体" w:hAnsi="宋体"/>
                <w:color w:val="000000"/>
                <w:sz w:val="22"/>
              </w:rPr>
            </w:pPr>
            <w:r>
              <w:rPr>
                <w:rFonts w:ascii="宋体" w:hAnsi="宋体" w:cs="宋体" w:hint="eastAsia"/>
                <w:color w:val="000000"/>
                <w:kern w:val="0"/>
                <w:sz w:val="22"/>
                <w:lang w:bidi="ar"/>
              </w:rPr>
              <w:t>8</w:t>
            </w:r>
          </w:p>
        </w:tc>
        <w:tc>
          <w:tcPr>
            <w:tcW w:w="1192" w:type="dxa"/>
            <w:vAlign w:val="center"/>
          </w:tcPr>
          <w:p w:rsidR="000F0468" w:rsidRDefault="00BF6AFD">
            <w:pPr>
              <w:widowControl/>
              <w:jc w:val="center"/>
              <w:textAlignment w:val="center"/>
              <w:rPr>
                <w:rFonts w:ascii="宋体" w:hAnsi="宋体"/>
                <w:color w:val="000000"/>
                <w:sz w:val="22"/>
              </w:rPr>
            </w:pPr>
            <w:r>
              <w:rPr>
                <w:rFonts w:ascii="宋体" w:hAnsi="宋体" w:cs="宋体" w:hint="eastAsia"/>
                <w:color w:val="000000"/>
                <w:kern w:val="0"/>
                <w:sz w:val="22"/>
                <w:lang w:bidi="ar"/>
              </w:rPr>
              <w:t>10</w:t>
            </w:r>
          </w:p>
        </w:tc>
      </w:tr>
      <w:tr w:rsidR="000F0468">
        <w:trPr>
          <w:trHeight w:val="454"/>
          <w:jc w:val="center"/>
        </w:trPr>
        <w:tc>
          <w:tcPr>
            <w:tcW w:w="1316" w:type="dxa"/>
            <w:vAlign w:val="center"/>
          </w:tcPr>
          <w:p w:rsidR="000F0468" w:rsidRDefault="00BF6AFD">
            <w:pPr>
              <w:spacing w:line="360" w:lineRule="auto"/>
              <w:jc w:val="center"/>
              <w:rPr>
                <w:rFonts w:ascii="宋体" w:hAnsi="宋体" w:cs="宋体"/>
                <w:bCs/>
                <w:szCs w:val="21"/>
              </w:rPr>
            </w:pPr>
            <w:r>
              <w:rPr>
                <w:rFonts w:ascii="宋体" w:hAnsi="宋体" w:cs="宋体" w:hint="eastAsia"/>
                <w:bCs/>
                <w:szCs w:val="21"/>
              </w:rPr>
              <w:t>吸光值</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0.0041</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0.1076</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0.1902</w:t>
            </w:r>
          </w:p>
        </w:tc>
        <w:tc>
          <w:tcPr>
            <w:tcW w:w="1193"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0.2914</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0.3852</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0.4943</w:t>
            </w:r>
          </w:p>
        </w:tc>
      </w:tr>
      <w:tr w:rsidR="000F0468">
        <w:trPr>
          <w:trHeight w:val="454"/>
          <w:jc w:val="center"/>
        </w:trPr>
        <w:tc>
          <w:tcPr>
            <w:tcW w:w="1316" w:type="dxa"/>
            <w:vAlign w:val="center"/>
          </w:tcPr>
          <w:p w:rsidR="000F0468" w:rsidRDefault="00BF6AFD">
            <w:pPr>
              <w:spacing w:line="360" w:lineRule="auto"/>
              <w:jc w:val="center"/>
              <w:rPr>
                <w:szCs w:val="21"/>
              </w:rPr>
            </w:pPr>
            <w:r>
              <w:rPr>
                <w:rFonts w:hint="eastAsia"/>
                <w:szCs w:val="21"/>
              </w:rPr>
              <w:t>线性方程</w:t>
            </w:r>
          </w:p>
        </w:tc>
        <w:tc>
          <w:tcPr>
            <w:tcW w:w="7153" w:type="dxa"/>
            <w:gridSpan w:val="6"/>
            <w:vAlign w:val="center"/>
          </w:tcPr>
          <w:p w:rsidR="000F0468" w:rsidRDefault="00BF6AFD">
            <w:pPr>
              <w:spacing w:line="360" w:lineRule="auto"/>
              <w:jc w:val="center"/>
            </w:pPr>
            <w:r>
              <w:rPr>
                <w:rFonts w:hint="eastAsia"/>
              </w:rPr>
              <w:t>y = 0.0484x + 0.0037   R=0.999</w:t>
            </w:r>
          </w:p>
        </w:tc>
      </w:tr>
      <w:tr w:rsidR="000F0468">
        <w:trPr>
          <w:trHeight w:val="454"/>
          <w:jc w:val="center"/>
        </w:trPr>
        <w:tc>
          <w:tcPr>
            <w:tcW w:w="1316" w:type="dxa"/>
            <w:vAlign w:val="center"/>
          </w:tcPr>
          <w:p w:rsidR="000F0468" w:rsidRDefault="00BF6AFD">
            <w:pPr>
              <w:spacing w:line="360" w:lineRule="auto"/>
              <w:jc w:val="center"/>
              <w:rPr>
                <w:szCs w:val="21"/>
              </w:rPr>
            </w:pPr>
            <w:r>
              <w:rPr>
                <w:szCs w:val="21"/>
              </w:rPr>
              <w:t>序号</w:t>
            </w:r>
          </w:p>
        </w:tc>
        <w:tc>
          <w:tcPr>
            <w:tcW w:w="1192" w:type="dxa"/>
            <w:vAlign w:val="center"/>
          </w:tcPr>
          <w:p w:rsidR="000F0468" w:rsidRDefault="00BF6AFD">
            <w:pPr>
              <w:spacing w:line="360" w:lineRule="auto"/>
              <w:jc w:val="center"/>
              <w:rPr>
                <w:rFonts w:ascii="宋体" w:hAnsi="宋体" w:cs="宋体"/>
                <w:bCs/>
                <w:szCs w:val="21"/>
              </w:rPr>
            </w:pPr>
            <w:r>
              <w:rPr>
                <w:rFonts w:ascii="宋体" w:hAnsi="宋体" w:cs="宋体" w:hint="eastAsia"/>
                <w:bCs/>
                <w:szCs w:val="21"/>
              </w:rPr>
              <w:t>1</w:t>
            </w:r>
          </w:p>
        </w:tc>
        <w:tc>
          <w:tcPr>
            <w:tcW w:w="1192" w:type="dxa"/>
            <w:vAlign w:val="center"/>
          </w:tcPr>
          <w:p w:rsidR="000F0468" w:rsidRDefault="00BF6AFD">
            <w:pPr>
              <w:spacing w:line="360" w:lineRule="auto"/>
              <w:jc w:val="center"/>
              <w:rPr>
                <w:rFonts w:ascii="宋体" w:hAnsi="宋体" w:cs="宋体"/>
                <w:bCs/>
                <w:szCs w:val="21"/>
              </w:rPr>
            </w:pPr>
            <w:r>
              <w:rPr>
                <w:rFonts w:ascii="宋体" w:hAnsi="宋体" w:cs="宋体" w:hint="eastAsia"/>
                <w:bCs/>
                <w:szCs w:val="21"/>
              </w:rPr>
              <w:t>2</w:t>
            </w:r>
          </w:p>
        </w:tc>
        <w:tc>
          <w:tcPr>
            <w:tcW w:w="1192" w:type="dxa"/>
            <w:vAlign w:val="center"/>
          </w:tcPr>
          <w:p w:rsidR="000F0468" w:rsidRDefault="00BF6AFD">
            <w:pPr>
              <w:widowControl/>
              <w:jc w:val="center"/>
              <w:textAlignment w:val="center"/>
              <w:rPr>
                <w:rFonts w:ascii="宋体" w:hAnsi="宋体"/>
                <w:color w:val="000000"/>
                <w:sz w:val="22"/>
              </w:rPr>
            </w:pPr>
            <w:r>
              <w:rPr>
                <w:rFonts w:ascii="宋体" w:hAnsi="宋体" w:hint="eastAsia"/>
                <w:color w:val="000000"/>
                <w:sz w:val="22"/>
              </w:rPr>
              <w:t>3</w:t>
            </w:r>
          </w:p>
        </w:tc>
        <w:tc>
          <w:tcPr>
            <w:tcW w:w="1193" w:type="dxa"/>
            <w:vAlign w:val="center"/>
          </w:tcPr>
          <w:p w:rsidR="000F0468" w:rsidRDefault="00BF6AFD">
            <w:pPr>
              <w:widowControl/>
              <w:jc w:val="center"/>
              <w:textAlignment w:val="center"/>
              <w:rPr>
                <w:rFonts w:ascii="宋体" w:hAnsi="宋体"/>
                <w:color w:val="000000"/>
                <w:sz w:val="22"/>
              </w:rPr>
            </w:pPr>
            <w:r>
              <w:rPr>
                <w:rFonts w:ascii="宋体" w:hAnsi="宋体" w:hint="eastAsia"/>
                <w:color w:val="000000"/>
                <w:sz w:val="22"/>
              </w:rPr>
              <w:t>4</w:t>
            </w:r>
          </w:p>
        </w:tc>
        <w:tc>
          <w:tcPr>
            <w:tcW w:w="1192" w:type="dxa"/>
            <w:vAlign w:val="center"/>
          </w:tcPr>
          <w:p w:rsidR="000F0468" w:rsidRDefault="00BF6AFD">
            <w:pPr>
              <w:widowControl/>
              <w:jc w:val="center"/>
              <w:textAlignment w:val="center"/>
              <w:rPr>
                <w:rFonts w:ascii="宋体" w:hAnsi="宋体"/>
                <w:sz w:val="22"/>
                <w:lang w:bidi="ar"/>
              </w:rPr>
            </w:pPr>
            <w:r>
              <w:rPr>
                <w:rFonts w:ascii="宋体" w:hAnsi="宋体" w:hint="eastAsia"/>
                <w:sz w:val="22"/>
                <w:lang w:bidi="ar"/>
              </w:rPr>
              <w:t>5</w:t>
            </w:r>
          </w:p>
        </w:tc>
        <w:tc>
          <w:tcPr>
            <w:tcW w:w="1192" w:type="dxa"/>
            <w:vAlign w:val="center"/>
          </w:tcPr>
          <w:p w:rsidR="000F0468" w:rsidRDefault="00BF6AFD">
            <w:pPr>
              <w:spacing w:line="360" w:lineRule="auto"/>
              <w:jc w:val="center"/>
            </w:pPr>
            <w:r>
              <w:rPr>
                <w:rFonts w:hint="eastAsia"/>
              </w:rPr>
              <w:t>6</w:t>
            </w:r>
          </w:p>
        </w:tc>
      </w:tr>
      <w:tr w:rsidR="000F0468">
        <w:trPr>
          <w:trHeight w:val="454"/>
          <w:jc w:val="center"/>
        </w:trPr>
        <w:tc>
          <w:tcPr>
            <w:tcW w:w="1316" w:type="dxa"/>
            <w:vAlign w:val="center"/>
          </w:tcPr>
          <w:p w:rsidR="000F0468" w:rsidRDefault="00BF6AFD">
            <w:pPr>
              <w:spacing w:line="360" w:lineRule="auto"/>
              <w:jc w:val="center"/>
              <w:rPr>
                <w:rFonts w:ascii="宋体" w:hAnsi="宋体" w:cs="宋体"/>
                <w:bCs/>
                <w:szCs w:val="21"/>
              </w:rPr>
            </w:pPr>
            <w:r>
              <w:rPr>
                <w:rFonts w:ascii="宋体" w:hAnsi="宋体" w:cs="宋体" w:hint="eastAsia"/>
                <w:bCs/>
                <w:szCs w:val="21"/>
              </w:rPr>
              <w:t>吸光值</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0.0047</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0.0037</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0.0042</w:t>
            </w:r>
          </w:p>
        </w:tc>
        <w:tc>
          <w:tcPr>
            <w:tcW w:w="1193"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0.0035</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0.002</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0.0018</w:t>
            </w:r>
          </w:p>
        </w:tc>
      </w:tr>
      <w:tr w:rsidR="000F0468">
        <w:trPr>
          <w:trHeight w:val="454"/>
          <w:jc w:val="center"/>
        </w:trPr>
        <w:tc>
          <w:tcPr>
            <w:tcW w:w="1316" w:type="dxa"/>
            <w:vAlign w:val="center"/>
          </w:tcPr>
          <w:p w:rsidR="000F0468" w:rsidRDefault="00BF6AFD">
            <w:pPr>
              <w:spacing w:line="360" w:lineRule="auto"/>
              <w:jc w:val="center"/>
              <w:rPr>
                <w:rFonts w:ascii="宋体" w:hAnsi="宋体"/>
                <w:szCs w:val="21"/>
                <w:lang w:bidi="ar"/>
              </w:rPr>
            </w:pPr>
            <w:r>
              <w:rPr>
                <w:rFonts w:ascii="宋体" w:hAnsi="宋体"/>
                <w:szCs w:val="21"/>
                <w:lang w:bidi="ar"/>
              </w:rPr>
              <w:t>序号</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8</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9</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10</w:t>
            </w:r>
          </w:p>
        </w:tc>
        <w:tc>
          <w:tcPr>
            <w:tcW w:w="1193"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11</w:t>
            </w:r>
          </w:p>
        </w:tc>
        <w:tc>
          <w:tcPr>
            <w:tcW w:w="2384" w:type="dxa"/>
            <w:gridSpan w:val="2"/>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标准偏差s</w:t>
            </w:r>
          </w:p>
        </w:tc>
      </w:tr>
      <w:tr w:rsidR="000F0468">
        <w:trPr>
          <w:trHeight w:val="454"/>
          <w:jc w:val="center"/>
        </w:trPr>
        <w:tc>
          <w:tcPr>
            <w:tcW w:w="1316" w:type="dxa"/>
            <w:vAlign w:val="center"/>
          </w:tcPr>
          <w:p w:rsidR="000F0468" w:rsidRDefault="00BF6AFD">
            <w:pPr>
              <w:spacing w:line="360" w:lineRule="auto"/>
              <w:jc w:val="center"/>
              <w:rPr>
                <w:szCs w:val="21"/>
              </w:rPr>
            </w:pPr>
            <w:r>
              <w:rPr>
                <w:rFonts w:ascii="宋体" w:hAnsi="宋体" w:cs="宋体" w:hint="eastAsia"/>
                <w:bCs/>
                <w:szCs w:val="21"/>
              </w:rPr>
              <w:t>吸光度</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0.0031</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0.0015</w:t>
            </w:r>
          </w:p>
        </w:tc>
        <w:tc>
          <w:tcPr>
            <w:tcW w:w="1192"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0.0028</w:t>
            </w:r>
          </w:p>
        </w:tc>
        <w:tc>
          <w:tcPr>
            <w:tcW w:w="1193" w:type="dxa"/>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0.0035</w:t>
            </w:r>
          </w:p>
        </w:tc>
        <w:tc>
          <w:tcPr>
            <w:tcW w:w="2384" w:type="dxa"/>
            <w:gridSpan w:val="2"/>
            <w:vAlign w:val="center"/>
          </w:tcPr>
          <w:p w:rsidR="000F0468" w:rsidRDefault="00BF6AFD">
            <w:pPr>
              <w:widowControl/>
              <w:jc w:val="center"/>
              <w:textAlignment w:val="center"/>
              <w:rPr>
                <w:rFonts w:ascii="宋体" w:hAnsi="宋体"/>
                <w:color w:val="000000"/>
                <w:kern w:val="0"/>
                <w:sz w:val="22"/>
              </w:rPr>
            </w:pPr>
            <w:r>
              <w:rPr>
                <w:rFonts w:ascii="宋体" w:hAnsi="宋体" w:hint="eastAsia"/>
                <w:color w:val="000000"/>
                <w:kern w:val="0"/>
                <w:sz w:val="22"/>
              </w:rPr>
              <w:t>0.001</w:t>
            </w:r>
          </w:p>
        </w:tc>
      </w:tr>
    </w:tbl>
    <w:p w:rsidR="000F0468" w:rsidRDefault="00BF6AFD">
      <w:pPr>
        <w:spacing w:beforeLines="50" w:before="156" w:line="300" w:lineRule="auto"/>
        <w:ind w:firstLineChars="200" w:firstLine="420"/>
        <w:rPr>
          <w:rFonts w:ascii="宋体" w:hAnsi="宋体"/>
          <w:szCs w:val="21"/>
        </w:rPr>
      </w:pPr>
      <w:r>
        <w:rPr>
          <w:rFonts w:ascii="宋体" w:hAnsi="宋体" w:hint="eastAsia"/>
          <w:szCs w:val="21"/>
        </w:rPr>
        <w:t>根据数据计算结果得到空白样品重复测定11次数值的标准偏差s为0.001，根据公示方法检出限近似为：0.033mg/kg。以</w:t>
      </w:r>
      <w:r>
        <w:rPr>
          <w:rFonts w:ascii="宋体" w:hAnsi="宋体"/>
          <w:szCs w:val="21"/>
        </w:rPr>
        <w:t>3</w:t>
      </w:r>
      <w:r>
        <w:rPr>
          <w:rFonts w:ascii="宋体" w:hAnsi="宋体" w:hint="eastAsia"/>
          <w:szCs w:val="21"/>
        </w:rPr>
        <w:t>倍检出限作为方法定量限,</w:t>
      </w:r>
      <w:r>
        <w:rPr>
          <w:rFonts w:ascii="宋体" w:hAnsi="宋体"/>
          <w:szCs w:val="21"/>
        </w:rPr>
        <w:t>定量限</w:t>
      </w:r>
      <w:r>
        <w:rPr>
          <w:rFonts w:ascii="宋体" w:hAnsi="宋体" w:hint="eastAsia"/>
          <w:szCs w:val="21"/>
        </w:rPr>
        <w:t>X</w:t>
      </w:r>
      <w:r>
        <w:rPr>
          <w:rFonts w:ascii="宋体" w:hAnsi="宋体" w:hint="eastAsia"/>
          <w:szCs w:val="21"/>
          <w:vertAlign w:val="subscript"/>
        </w:rPr>
        <w:t>LOQ</w:t>
      </w:r>
      <w:r>
        <w:rPr>
          <w:rFonts w:ascii="宋体" w:hAnsi="宋体"/>
          <w:szCs w:val="21"/>
        </w:rPr>
        <w:t>= 3</w:t>
      </w:r>
      <w:r>
        <w:rPr>
          <w:rFonts w:ascii="宋体" w:hAnsi="宋体" w:cs="宋体"/>
          <w:bCs/>
          <w:szCs w:val="21"/>
        </w:rPr>
        <w:t>X</w:t>
      </w:r>
      <w:r>
        <w:rPr>
          <w:rFonts w:ascii="宋体" w:hAnsi="宋体" w:cs="宋体" w:hint="eastAsia"/>
          <w:bCs/>
          <w:szCs w:val="21"/>
          <w:vertAlign w:val="subscript"/>
        </w:rPr>
        <w:t xml:space="preserve"> LOD</w:t>
      </w:r>
      <w:r>
        <w:rPr>
          <w:rFonts w:ascii="宋体" w:hAnsi="宋体"/>
          <w:szCs w:val="21"/>
        </w:rPr>
        <w:t>=</w:t>
      </w:r>
      <w:r>
        <w:rPr>
          <w:rFonts w:ascii="宋体" w:hAnsi="宋体" w:hint="eastAsia"/>
          <w:szCs w:val="21"/>
        </w:rPr>
        <w:t>1.0</w:t>
      </w:r>
      <w:r>
        <w:rPr>
          <w:rFonts w:ascii="宋体" w:hAnsi="宋体"/>
          <w:szCs w:val="21"/>
        </w:rPr>
        <w:t>mg/kg</w:t>
      </w:r>
      <w:r>
        <w:rPr>
          <w:rFonts w:ascii="宋体" w:hAnsi="宋体" w:hint="eastAsia"/>
          <w:szCs w:val="21"/>
        </w:rPr>
        <w:t>。</w:t>
      </w:r>
    </w:p>
    <w:p w:rsidR="000F0468" w:rsidRDefault="00BF6AFD">
      <w:pPr>
        <w:pStyle w:val="a0"/>
        <w:spacing w:before="156" w:after="156"/>
        <w:rPr>
          <w:rFonts w:ascii="宋体" w:eastAsia="宋体" w:hAnsi="宋体" w:cs="宋体"/>
          <w:b/>
          <w:bCs/>
        </w:rPr>
      </w:pPr>
      <w:r>
        <w:rPr>
          <w:rFonts w:ascii="宋体" w:eastAsia="宋体" w:hAnsi="宋体" w:cs="宋体" w:hint="eastAsia"/>
          <w:b/>
          <w:bCs/>
        </w:rPr>
        <w:t>正确性及精密度</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样品选取了工业六水氯化镁和无水氯化镁产品，添加了1倍定量限、2倍定量限、5倍定量限三个加标浓度水平（1.0mg/kg、2.0mg/kg、5.0mg/kg），每个浓度水平平行测定7次，以添加定量限测得7次吸光度值的相对标准偏差作为实验室内变异系数，具体数据见表</w:t>
      </w:r>
      <w:r w:rsidR="00EB68F9">
        <w:rPr>
          <w:rFonts w:ascii="宋体" w:hAnsi="宋体" w:cs="宋体"/>
          <w:szCs w:val="21"/>
        </w:rPr>
        <w:t>8</w:t>
      </w:r>
      <w:r>
        <w:rPr>
          <w:rFonts w:ascii="宋体" w:hAnsi="宋体" w:cs="宋体" w:hint="eastAsia"/>
          <w:szCs w:val="21"/>
        </w:rPr>
        <w:t>。</w:t>
      </w:r>
    </w:p>
    <w:p w:rsidR="000F0468" w:rsidRDefault="00BF6AFD">
      <w:pPr>
        <w:spacing w:line="300" w:lineRule="auto"/>
        <w:jc w:val="center"/>
        <w:rPr>
          <w:rFonts w:ascii="宋体" w:hAnsi="宋体" w:cs="宋体"/>
          <w:sz w:val="18"/>
          <w:szCs w:val="18"/>
        </w:rPr>
      </w:pPr>
      <w:r>
        <w:rPr>
          <w:rFonts w:ascii="宋体" w:hAnsi="宋体" w:cs="宋体" w:hint="eastAsia"/>
          <w:sz w:val="18"/>
          <w:szCs w:val="18"/>
        </w:rPr>
        <w:t>表</w:t>
      </w:r>
      <w:r w:rsidR="00EB68F9">
        <w:rPr>
          <w:rFonts w:ascii="宋体" w:hAnsi="宋体" w:cs="宋体"/>
          <w:sz w:val="18"/>
          <w:szCs w:val="18"/>
        </w:rPr>
        <w:t>8</w:t>
      </w:r>
      <w:r>
        <w:rPr>
          <w:rFonts w:ascii="宋体" w:hAnsi="宋体" w:cs="宋体" w:hint="eastAsia"/>
          <w:sz w:val="18"/>
          <w:szCs w:val="18"/>
        </w:rPr>
        <w:t xml:space="preserve"> 两类样品六价铬含量在三种添加水平条件下的回收率及精密度</w:t>
      </w:r>
    </w:p>
    <w:tbl>
      <w:tblPr>
        <w:tblW w:w="10829" w:type="dxa"/>
        <w:jc w:val="center"/>
        <w:tblLayout w:type="fixed"/>
        <w:tblLook w:val="04A0" w:firstRow="1" w:lastRow="0" w:firstColumn="1" w:lastColumn="0" w:noHBand="0" w:noVBand="1"/>
      </w:tblPr>
      <w:tblGrid>
        <w:gridCol w:w="1079"/>
        <w:gridCol w:w="1519"/>
        <w:gridCol w:w="1081"/>
        <w:gridCol w:w="1081"/>
        <w:gridCol w:w="1081"/>
        <w:gridCol w:w="1080"/>
        <w:gridCol w:w="1080"/>
        <w:gridCol w:w="1080"/>
        <w:gridCol w:w="1080"/>
        <w:gridCol w:w="668"/>
      </w:tblGrid>
      <w:tr w:rsidR="000F0468">
        <w:trPr>
          <w:trHeight w:val="270"/>
          <w:jc w:val="center"/>
        </w:trPr>
        <w:tc>
          <w:tcPr>
            <w:tcW w:w="1079"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样品</w:t>
            </w:r>
          </w:p>
        </w:tc>
        <w:tc>
          <w:tcPr>
            <w:tcW w:w="1519"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结果</w:t>
            </w:r>
          </w:p>
        </w:tc>
        <w:tc>
          <w:tcPr>
            <w:tcW w:w="1081"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测定值1</w:t>
            </w:r>
          </w:p>
        </w:tc>
        <w:tc>
          <w:tcPr>
            <w:tcW w:w="1081"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测定值2</w:t>
            </w:r>
          </w:p>
        </w:tc>
        <w:tc>
          <w:tcPr>
            <w:tcW w:w="1081"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测定值3</w:t>
            </w:r>
          </w:p>
        </w:tc>
        <w:tc>
          <w:tcPr>
            <w:tcW w:w="108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测定值4</w:t>
            </w:r>
          </w:p>
        </w:tc>
        <w:tc>
          <w:tcPr>
            <w:tcW w:w="108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测定值5</w:t>
            </w:r>
          </w:p>
        </w:tc>
        <w:tc>
          <w:tcPr>
            <w:tcW w:w="108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测定值6</w:t>
            </w:r>
          </w:p>
        </w:tc>
        <w:tc>
          <w:tcPr>
            <w:tcW w:w="1080"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测定值7</w:t>
            </w:r>
          </w:p>
        </w:tc>
        <w:tc>
          <w:tcPr>
            <w:tcW w:w="668"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CV%</w:t>
            </w:r>
          </w:p>
        </w:tc>
      </w:tr>
      <w:tr w:rsidR="000F0468">
        <w:trPr>
          <w:trHeight w:val="270"/>
          <w:jc w:val="center"/>
        </w:trPr>
        <w:tc>
          <w:tcPr>
            <w:tcW w:w="1079" w:type="dxa"/>
            <w:vMerge w:val="restart"/>
            <w:tcBorders>
              <w:top w:val="nil"/>
              <w:left w:val="single" w:sz="4" w:space="0" w:color="000000"/>
              <w:bottom w:val="single" w:sz="8"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六水氯化镁+1mg/kg</w:t>
            </w: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吸光度</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0.1382</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0.1402</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0.1502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0.1516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0.1401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0.1445</w:t>
            </w:r>
          </w:p>
        </w:tc>
        <w:tc>
          <w:tcPr>
            <w:tcW w:w="668"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5.9 </w:t>
            </w:r>
          </w:p>
        </w:tc>
      </w:tr>
      <w:tr w:rsidR="000F0468">
        <w:trPr>
          <w:trHeight w:val="270"/>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六价铬含量mg/kg</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0.92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0.92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1.01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1.00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1.09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0.93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0.96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70"/>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回收率%</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92.43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91.94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101.35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100.12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108.88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92.68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96.20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70"/>
          <w:jc w:val="center"/>
        </w:trPr>
        <w:tc>
          <w:tcPr>
            <w:tcW w:w="1079" w:type="dxa"/>
            <w:vMerge w:val="restart"/>
            <w:tcBorders>
              <w:top w:val="nil"/>
              <w:left w:val="single" w:sz="4" w:space="0" w:color="000000"/>
              <w:bottom w:val="single" w:sz="8"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lastRenderedPageBreak/>
              <w:t>六水氯化镁+2mg/kg</w:t>
            </w: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吸光度</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0.2525</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0.2538</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0.2561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0.2548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0.2511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0.2498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0.2612</w:t>
            </w:r>
          </w:p>
        </w:tc>
        <w:tc>
          <w:tcPr>
            <w:tcW w:w="668"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1.5 </w:t>
            </w:r>
          </w:p>
        </w:tc>
      </w:tr>
      <w:tr w:rsidR="000F0468">
        <w:trPr>
          <w:trHeight w:val="270"/>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六价铬含量mg/kg</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1.86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1.85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1.88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1.85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1.81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1.82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1.92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70"/>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回收率%</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92.97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92.43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93.99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92.27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90.67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91.21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95.83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70"/>
          <w:jc w:val="center"/>
        </w:trPr>
        <w:tc>
          <w:tcPr>
            <w:tcW w:w="1079" w:type="dxa"/>
            <w:vMerge w:val="restart"/>
            <w:tcBorders>
              <w:top w:val="nil"/>
              <w:left w:val="single" w:sz="4" w:space="0" w:color="000000"/>
              <w:bottom w:val="single" w:sz="8"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六水氯化镁+10mg/kg</w:t>
            </w: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吸光度</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0.6278</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0.6125</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0.6301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0.6298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0.6312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0.6255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0.6199</w:t>
            </w:r>
          </w:p>
        </w:tc>
        <w:tc>
          <w:tcPr>
            <w:tcW w:w="668"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1.1 </w:t>
            </w:r>
          </w:p>
        </w:tc>
      </w:tr>
      <w:tr w:rsidR="000F0468">
        <w:trPr>
          <w:trHeight w:val="270"/>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六价铬含量mg/kg</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4.93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4.78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4.94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4.91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4.92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4.90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4.85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70"/>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回收率%</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98.58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95.66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98.78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98.26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98.45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97.95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97.01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70"/>
          <w:jc w:val="center"/>
        </w:trPr>
        <w:tc>
          <w:tcPr>
            <w:tcW w:w="1079" w:type="dxa"/>
            <w:vMerge w:val="restart"/>
            <w:tcBorders>
              <w:top w:val="nil"/>
              <w:left w:val="single" w:sz="4" w:space="0" w:color="000000"/>
              <w:bottom w:val="single" w:sz="8"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无水氯化镁+1mg/kg</w:t>
            </w: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吸光度</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0.1599</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0.1577</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0.1615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0.1714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0.1609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0.1733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0.1638</w:t>
            </w:r>
          </w:p>
        </w:tc>
        <w:tc>
          <w:tcPr>
            <w:tcW w:w="668"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3.6 </w:t>
            </w:r>
          </w:p>
        </w:tc>
      </w:tr>
      <w:tr w:rsidR="000F0468">
        <w:trPr>
          <w:trHeight w:val="270"/>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六价铬含量mg/kg</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0.91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0.91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0.95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1.01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0.93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1.03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0.95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5"/>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回收率%</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90.88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90.72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94.56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101.02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92.52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103.39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94.56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70"/>
          <w:jc w:val="center"/>
        </w:trPr>
        <w:tc>
          <w:tcPr>
            <w:tcW w:w="1079" w:type="dxa"/>
            <w:vMerge w:val="restart"/>
            <w:tcBorders>
              <w:top w:val="nil"/>
              <w:left w:val="single" w:sz="4" w:space="0" w:color="000000"/>
              <w:bottom w:val="single" w:sz="8"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无水氯化镁+2mg/kg</w:t>
            </w: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吸光度</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0.2792</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0.2998</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0.2813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0.2851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0.2689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0.2952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0.272</w:t>
            </w:r>
          </w:p>
        </w:tc>
        <w:tc>
          <w:tcPr>
            <w:tcW w:w="668"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4.0 </w:t>
            </w:r>
          </w:p>
        </w:tc>
      </w:tr>
      <w:tr w:rsidR="000F0468">
        <w:trPr>
          <w:trHeight w:val="270"/>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六价铬含量mg/kg</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1.88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2.07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1.93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1.94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1.81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2.03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1.83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85"/>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回收率%</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94.23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103.48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96.28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97.01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90.43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101.55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91.53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70"/>
          <w:jc w:val="center"/>
        </w:trPr>
        <w:tc>
          <w:tcPr>
            <w:tcW w:w="1079" w:type="dxa"/>
            <w:vMerge w:val="restart"/>
            <w:tcBorders>
              <w:top w:val="nil"/>
              <w:left w:val="single" w:sz="4" w:space="0" w:color="000000"/>
              <w:bottom w:val="single" w:sz="8" w:space="0" w:color="000000"/>
              <w:right w:val="single" w:sz="4" w:space="0" w:color="000000"/>
            </w:tcBorders>
            <w:shd w:val="clear" w:color="auto" w:fill="auto"/>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无水氯化镁+10mg/kg</w:t>
            </w: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吸光度</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0.6453</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0.6419</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0.6427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0.6633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0.643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0.644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0.6555</w:t>
            </w:r>
          </w:p>
        </w:tc>
        <w:tc>
          <w:tcPr>
            <w:tcW w:w="668" w:type="dxa"/>
            <w:vMerge w:val="restart"/>
            <w:tcBorders>
              <w:top w:val="nil"/>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1.3 </w:t>
            </w:r>
          </w:p>
        </w:tc>
      </w:tr>
      <w:tr w:rsidR="000F0468">
        <w:trPr>
          <w:trHeight w:val="270"/>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六价铬含量mg/kg</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4.88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4.87 </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4.88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5.03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4.87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4.88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4.97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r w:rsidR="000F0468">
        <w:trPr>
          <w:trHeight w:val="270"/>
          <w:jc w:val="center"/>
        </w:trPr>
        <w:tc>
          <w:tcPr>
            <w:tcW w:w="1079" w:type="dxa"/>
            <w:vMerge/>
            <w:tcBorders>
              <w:top w:val="nil"/>
              <w:left w:val="single" w:sz="4" w:space="0" w:color="000000"/>
              <w:bottom w:val="single" w:sz="8" w:space="0" w:color="000000"/>
              <w:right w:val="single" w:sz="4" w:space="0" w:color="000000"/>
            </w:tcBorders>
            <w:shd w:val="clear" w:color="auto" w:fill="auto"/>
            <w:vAlign w:val="center"/>
          </w:tcPr>
          <w:p w:rsidR="000F0468" w:rsidRDefault="000F0468">
            <w:pPr>
              <w:jc w:val="center"/>
              <w:rPr>
                <w:rFonts w:ascii="宋体" w:hAnsi="宋体" w:cs="宋体"/>
                <w:color w:val="000000"/>
                <w:sz w:val="16"/>
                <w:szCs w:val="16"/>
              </w:rPr>
            </w:pPr>
          </w:p>
        </w:tc>
        <w:tc>
          <w:tcPr>
            <w:tcW w:w="151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回收率%</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97.59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97.36 </w:t>
            </w:r>
          </w:p>
        </w:tc>
        <w:tc>
          <w:tcPr>
            <w:tcW w:w="1081"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97.64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100.68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97.37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97.69 </w:t>
            </w:r>
          </w:p>
        </w:tc>
        <w:tc>
          <w:tcPr>
            <w:tcW w:w="108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0F0468" w:rsidRDefault="00BF6AFD">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 xml:space="preserve">99.35 </w:t>
            </w:r>
          </w:p>
        </w:tc>
        <w:tc>
          <w:tcPr>
            <w:tcW w:w="668" w:type="dxa"/>
            <w:vMerge/>
            <w:tcBorders>
              <w:top w:val="nil"/>
              <w:left w:val="single" w:sz="4" w:space="0" w:color="000000"/>
              <w:bottom w:val="single" w:sz="4" w:space="0" w:color="000000"/>
              <w:right w:val="single" w:sz="4" w:space="0" w:color="000000"/>
            </w:tcBorders>
            <w:shd w:val="clear" w:color="auto" w:fill="auto"/>
            <w:noWrap/>
            <w:vAlign w:val="center"/>
          </w:tcPr>
          <w:p w:rsidR="000F0468" w:rsidRDefault="000F0468">
            <w:pPr>
              <w:jc w:val="center"/>
              <w:rPr>
                <w:rFonts w:ascii="宋体" w:hAnsi="宋体" w:cs="宋体"/>
                <w:color w:val="000000"/>
                <w:sz w:val="16"/>
                <w:szCs w:val="16"/>
              </w:rPr>
            </w:pPr>
          </w:p>
        </w:tc>
      </w:tr>
    </w:tbl>
    <w:p w:rsidR="000F0468" w:rsidRDefault="000F0468">
      <w:pPr>
        <w:pStyle w:val="af2"/>
        <w:ind w:firstLineChars="0" w:firstLine="0"/>
      </w:pPr>
    </w:p>
    <w:p w:rsidR="000F0468" w:rsidRDefault="00BF6AFD">
      <w:pPr>
        <w:spacing w:line="300" w:lineRule="auto"/>
        <w:ind w:firstLineChars="200" w:firstLine="420"/>
      </w:pPr>
      <w:r>
        <w:rPr>
          <w:rFonts w:ascii="宋体" w:hAnsi="宋体" w:cs="宋体" w:hint="eastAsia"/>
          <w:szCs w:val="21"/>
        </w:rPr>
        <w:t>由上述试验结果可以看出，选取的两类样品在低、中、高三个加标浓度水平的回收率在90%</w:t>
      </w:r>
      <w:r>
        <w:rPr>
          <w:rFonts w:ascii="Times New Roman" w:hAnsi="Times New Roman"/>
          <w:szCs w:val="21"/>
        </w:rPr>
        <w:t>~</w:t>
      </w:r>
      <w:r>
        <w:rPr>
          <w:rFonts w:ascii="宋体" w:hAnsi="宋体" w:cs="宋体" w:hint="eastAsia"/>
          <w:szCs w:val="21"/>
        </w:rPr>
        <w:t>110%之间，实验室内变异系数在1.1%</w:t>
      </w:r>
      <w:r>
        <w:rPr>
          <w:rFonts w:ascii="Times New Roman" w:hAnsi="Times New Roman"/>
          <w:szCs w:val="21"/>
        </w:rPr>
        <w:t>~</w:t>
      </w:r>
      <w:r>
        <w:rPr>
          <w:rFonts w:ascii="Times New Roman" w:hAnsi="Times New Roman" w:hint="eastAsia"/>
          <w:szCs w:val="21"/>
        </w:rPr>
        <w:t>5.9%</w:t>
      </w:r>
      <w:r>
        <w:rPr>
          <w:rFonts w:ascii="Times New Roman" w:hAnsi="Times New Roman" w:hint="eastAsia"/>
          <w:szCs w:val="21"/>
        </w:rPr>
        <w:t>，</w:t>
      </w:r>
      <w:r>
        <w:rPr>
          <w:rFonts w:ascii="宋体" w:hAnsi="宋体" w:cs="宋体" w:hint="eastAsia"/>
          <w:szCs w:val="21"/>
        </w:rPr>
        <w:t>符合GB/T 27417-2017《合格评定化学分析方法确认和验证指南》中相应的要求。</w:t>
      </w:r>
    </w:p>
    <w:p w:rsidR="000F0468" w:rsidRDefault="00BF6AFD">
      <w:pPr>
        <w:pStyle w:val="a"/>
        <w:numPr>
          <w:ilvl w:val="0"/>
          <w:numId w:val="3"/>
        </w:numPr>
        <w:spacing w:beforeLines="50" w:before="156" w:afterLines="50" w:after="156"/>
        <w:rPr>
          <w:rFonts w:ascii="宋体" w:eastAsia="宋体" w:hAnsi="宋体" w:cs="宋体"/>
          <w:szCs w:val="21"/>
        </w:rPr>
      </w:pPr>
      <w:r>
        <w:rPr>
          <w:rFonts w:ascii="宋体" w:hAnsi="宋体" w:cs="宋体" w:hint="eastAsia"/>
          <w:sz w:val="24"/>
          <w:szCs w:val="24"/>
        </w:rPr>
        <w:t>镁、钙前处理方法的试验验证</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工业氯化镁中常含有金属铁离子、铝离子，它们会与EDTA发生络合反应，干扰钙和镁的测定。三乙醇胺能通过与干扰离子形成稳定的络合物，阻止其与EDTA反应，掩蔽干扰离子，从而消除干扰。此外，在碱性条件下，铁离子和铝离子易形成氢氧化物沉淀，三乙醇胺的加入能够通过络合这些离子，避免沉淀的生成，确保溶液澄清，便于终点的观察。</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在试验过程中，选取了不含干扰离子的样品三份，一份采用不加入三乙醇胺的前处理步骤下进行测定，能够清晰滴到终点；另一份样品加入了干扰离子，在干扰离子的作用下，滴定不到终点；第三份样品在样品前处理步骤中加入了三乙醇胺溶液，能够清晰的指示终点的到达。因此，在钙镁前处理步骤中增加了三乙醇胺溶液。</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四、标准中涉及专利情况</w:t>
      </w:r>
    </w:p>
    <w:p w:rsidR="000F0468" w:rsidRDefault="00BF6AFD">
      <w:pPr>
        <w:spacing w:before="200" w:line="300" w:lineRule="auto"/>
        <w:ind w:firstLineChars="196" w:firstLine="412"/>
        <w:rPr>
          <w:rFonts w:ascii="宋体" w:hAnsi="宋体" w:cs="宋体"/>
          <w:b/>
          <w:kern w:val="0"/>
          <w:szCs w:val="21"/>
        </w:rPr>
      </w:pPr>
      <w:r>
        <w:rPr>
          <w:rFonts w:ascii="宋体" w:hAnsi="宋体" w:cs="宋体" w:hint="eastAsia"/>
          <w:szCs w:val="21"/>
        </w:rPr>
        <w:t>本标准中不涉及专利问题。</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五、预期达到的社会效益、对产业发展的作用等情况</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工业氯化镁是重要的化工用品，用途广泛。QB/T 2605作为目前工业氯化镁唯一的行业标准，被生产企业、市场监管部门普遍采用，它是实施工业氯化镁生产许可管理、解决产品</w:t>
      </w:r>
      <w:r>
        <w:rPr>
          <w:rFonts w:ascii="宋体" w:hAnsi="宋体" w:cs="宋体" w:hint="eastAsia"/>
          <w:szCs w:val="21"/>
        </w:rPr>
        <w:lastRenderedPageBreak/>
        <w:t>质量纠纷、监督工业氯化镁产品质量的标准依据。</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本标准的修订，将无水氯化镁品类纳入标准适用范围，并完善了各试验方法，使标准的科学性、适用性大大增强，以本标准为依据，生产企业也可以对无水氯化镁开展有效的质量控制活动，填补工业无水氯化镁产品行业标准空白，使得监管部门可以对其流通领域实施有力监管，生产、流通、使用等各个环节更加顺畅，减少了因质量问题而引起的纠纷，促进工业氯化镁产业整体健康快速发展。</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本标准还增加了铅、六价铬的指标要求，这一改变能够对市场上违规使用危险废弃物工业副产物氯化镁起到约束作用，避免其以次充好，这对保护正规生产企业合法权益以及保护生态环境的起到重要作用。</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六、与国际、国外对比情况</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本标准修订过程中未查到同类国际、国外标准，没有采用国际标准或国外先进标准。</w:t>
      </w:r>
    </w:p>
    <w:p w:rsidR="000F0468" w:rsidRDefault="00BF6AFD">
      <w:pPr>
        <w:spacing w:before="200" w:line="300" w:lineRule="auto"/>
        <w:ind w:firstLineChars="200" w:firstLine="420"/>
        <w:rPr>
          <w:rFonts w:ascii="宋体" w:hAnsi="宋体" w:cs="宋体"/>
          <w:szCs w:val="21"/>
        </w:rPr>
      </w:pPr>
      <w:r>
        <w:rPr>
          <w:rFonts w:ascii="宋体" w:hAnsi="宋体" w:cs="宋体" w:hint="eastAsia"/>
          <w:szCs w:val="21"/>
        </w:rPr>
        <w:t>本标准水平为国内领先水平。</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七、在标准体系中的位置，与现行相关法律、法规、规章及相关标准，特别是强制性标准的协调性</w:t>
      </w:r>
    </w:p>
    <w:p w:rsidR="000F0468" w:rsidRDefault="00BF6AFD">
      <w:pPr>
        <w:spacing w:before="200" w:line="300" w:lineRule="auto"/>
        <w:ind w:firstLine="555"/>
        <w:rPr>
          <w:rFonts w:ascii="宋体" w:hAnsi="宋体" w:cs="宋体"/>
          <w:kern w:val="0"/>
          <w:szCs w:val="21"/>
        </w:rPr>
      </w:pPr>
      <w:r>
        <w:rPr>
          <w:rFonts w:ascii="宋体" w:hAnsi="宋体" w:cs="宋体" w:hint="eastAsia"/>
          <w:kern w:val="0"/>
          <w:szCs w:val="21"/>
        </w:rPr>
        <w:t>本专业领域的标准体系框架如下图：</w:t>
      </w:r>
    </w:p>
    <w:p w:rsidR="000F0468" w:rsidRDefault="00BF6AFD">
      <w:pPr>
        <w:spacing w:before="200" w:line="300" w:lineRule="auto"/>
        <w:ind w:firstLineChars="200" w:firstLine="420"/>
        <w:rPr>
          <w:rFonts w:ascii="宋体" w:hAnsi="宋体" w:cs="宋体"/>
          <w:kern w:val="0"/>
          <w:szCs w:val="21"/>
        </w:rPr>
      </w:pPr>
      <w:r>
        <w:rPr>
          <w:rFonts w:ascii="宋体" w:hAnsi="宋体" w:cs="宋体" w:hint="eastAsia"/>
          <w:szCs w:val="21"/>
        </w:rPr>
        <w:object w:dxaOrig="8218" w:dyaOrig="5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pt;height:297.1pt" o:ole="">
            <v:imagedata r:id="rId9" o:title=""/>
          </v:shape>
          <o:OLEObject Type="Embed" ProgID="Visio.Drawing.11" ShapeID="_x0000_i1025" DrawAspect="Content" ObjectID="_1810102144" r:id="rId10"/>
        </w:object>
      </w:r>
      <w:r>
        <w:rPr>
          <w:rFonts w:ascii="宋体" w:hAnsi="宋体" w:cs="宋体" w:hint="eastAsia"/>
          <w:szCs w:val="21"/>
        </w:rPr>
        <w:t xml:space="preserve">    </w:t>
      </w:r>
      <w:r>
        <w:rPr>
          <w:rFonts w:ascii="宋体" w:hAnsi="宋体" w:cs="宋体" w:hint="eastAsia"/>
          <w:kern w:val="0"/>
          <w:szCs w:val="21"/>
        </w:rPr>
        <w:t>本标准属于盐业标准体系“0</w:t>
      </w:r>
      <w:r w:rsidR="00EB68F9">
        <w:rPr>
          <w:rFonts w:ascii="宋体" w:hAnsi="宋体" w:cs="宋体"/>
          <w:kern w:val="0"/>
          <w:szCs w:val="21"/>
        </w:rPr>
        <w:t>5</w:t>
      </w:r>
      <w:r w:rsidR="00EB68F9">
        <w:rPr>
          <w:rFonts w:ascii="宋体" w:hAnsi="宋体" w:cs="宋体" w:hint="eastAsia"/>
          <w:kern w:val="0"/>
          <w:szCs w:val="21"/>
        </w:rPr>
        <w:t>盐化工产品</w:t>
      </w:r>
      <w:r>
        <w:rPr>
          <w:rFonts w:ascii="宋体" w:hAnsi="宋体" w:cs="宋体" w:hint="eastAsia"/>
          <w:kern w:val="0"/>
          <w:szCs w:val="21"/>
        </w:rPr>
        <w:t>”大类，“</w:t>
      </w:r>
      <w:r w:rsidR="00EB68F9">
        <w:rPr>
          <w:rFonts w:ascii="宋体" w:hAnsi="宋体" w:cs="宋体"/>
          <w:kern w:val="0"/>
          <w:szCs w:val="21"/>
        </w:rPr>
        <w:t>02 工业用盐化工产品</w:t>
      </w:r>
      <w:r>
        <w:rPr>
          <w:rFonts w:ascii="宋体" w:hAnsi="宋体" w:cs="宋体" w:hint="eastAsia"/>
          <w:kern w:val="0"/>
          <w:szCs w:val="21"/>
        </w:rPr>
        <w:t>”中类，体系编号为：“152950005020000002CP”。</w:t>
      </w:r>
    </w:p>
    <w:p w:rsidR="000F0468" w:rsidRDefault="00BF6AFD">
      <w:pPr>
        <w:spacing w:before="200" w:line="300" w:lineRule="auto"/>
        <w:ind w:firstLine="555"/>
        <w:rPr>
          <w:rFonts w:ascii="宋体" w:hAnsi="宋体" w:cs="宋体"/>
          <w:szCs w:val="21"/>
        </w:rPr>
      </w:pPr>
      <w:r>
        <w:rPr>
          <w:rFonts w:ascii="宋体" w:hAnsi="宋体" w:cs="宋体" w:hint="eastAsia"/>
          <w:szCs w:val="21"/>
        </w:rPr>
        <w:t>本标准与现行相关法律、法规、规章及相关标准协调一致。</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八、重大分歧意见的处理经过和依据</w:t>
      </w:r>
    </w:p>
    <w:p w:rsidR="000F0468" w:rsidRDefault="00BF6AFD">
      <w:pPr>
        <w:spacing w:before="200" w:line="300" w:lineRule="auto"/>
        <w:ind w:firstLineChars="200" w:firstLine="420"/>
        <w:rPr>
          <w:rFonts w:ascii="宋体" w:hAnsi="宋体" w:cs="宋体"/>
          <w:b/>
          <w:kern w:val="0"/>
          <w:szCs w:val="21"/>
        </w:rPr>
      </w:pPr>
      <w:r>
        <w:rPr>
          <w:rFonts w:ascii="宋体" w:hAnsi="宋体" w:cs="宋体" w:hint="eastAsia"/>
          <w:kern w:val="0"/>
          <w:szCs w:val="21"/>
        </w:rPr>
        <w:t>无。</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九、标准性质的建议说明</w:t>
      </w:r>
    </w:p>
    <w:p w:rsidR="000F0468" w:rsidRDefault="00BF6AFD">
      <w:pPr>
        <w:spacing w:before="200" w:line="300" w:lineRule="auto"/>
        <w:ind w:firstLineChars="200" w:firstLine="420"/>
        <w:rPr>
          <w:rFonts w:ascii="宋体" w:hAnsi="宋体" w:cs="宋体"/>
          <w:b/>
          <w:kern w:val="0"/>
          <w:szCs w:val="21"/>
        </w:rPr>
      </w:pPr>
      <w:r>
        <w:rPr>
          <w:rFonts w:ascii="宋体" w:hAnsi="宋体" w:cs="宋体" w:hint="eastAsia"/>
          <w:kern w:val="0"/>
          <w:szCs w:val="21"/>
        </w:rPr>
        <w:t>建议本标准的性质为推荐性行业标准。</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十、贯彻标准的要求和措施建议</w:t>
      </w:r>
    </w:p>
    <w:p w:rsidR="000F0468" w:rsidRDefault="00BF6AFD">
      <w:pPr>
        <w:spacing w:before="200" w:afterLines="50" w:after="156" w:line="300" w:lineRule="auto"/>
        <w:ind w:firstLine="570"/>
        <w:rPr>
          <w:rFonts w:ascii="宋体" w:hAnsi="宋体" w:cs="宋体"/>
          <w:szCs w:val="21"/>
        </w:rPr>
      </w:pPr>
      <w:r>
        <w:rPr>
          <w:rFonts w:ascii="宋体" w:hAnsi="宋体" w:cs="宋体" w:hint="eastAsia"/>
          <w:szCs w:val="21"/>
        </w:rPr>
        <w:t>本标准是产品标准，存在旧产品消耗问题，建议标准实施日期为标准发布后的6个月。标准发布后，应组织相关人员进行标准的宣贯培训。</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t>十一、废止现行相关标准的建议</w:t>
      </w:r>
    </w:p>
    <w:p w:rsidR="000F0468" w:rsidRDefault="00BF6AFD">
      <w:pPr>
        <w:spacing w:before="200" w:afterLines="50" w:after="156" w:line="300" w:lineRule="auto"/>
        <w:ind w:firstLineChars="200" w:firstLine="420"/>
        <w:rPr>
          <w:rFonts w:ascii="宋体" w:hAnsi="宋体" w:cs="宋体"/>
          <w:szCs w:val="21"/>
        </w:rPr>
      </w:pPr>
      <w:r>
        <w:rPr>
          <w:rFonts w:ascii="宋体" w:hAnsi="宋体" w:cs="宋体" w:hint="eastAsia"/>
          <w:bCs/>
          <w:szCs w:val="21"/>
        </w:rPr>
        <w:t>本标准实施后，</w:t>
      </w:r>
      <w:r>
        <w:rPr>
          <w:rFonts w:ascii="宋体" w:hAnsi="宋体" w:cs="宋体" w:hint="eastAsia"/>
          <w:szCs w:val="21"/>
        </w:rPr>
        <w:t>QB/T 2605-20</w:t>
      </w:r>
      <w:r w:rsidR="00447A3B">
        <w:rPr>
          <w:rFonts w:ascii="宋体" w:hAnsi="宋体" w:cs="宋体"/>
          <w:szCs w:val="21"/>
        </w:rPr>
        <w:t>03</w:t>
      </w:r>
      <w:r>
        <w:rPr>
          <w:rFonts w:ascii="宋体" w:hAnsi="宋体" w:cs="宋体" w:hint="eastAsia"/>
          <w:szCs w:val="21"/>
        </w:rPr>
        <w:t>《工业氯化镁》废止。</w:t>
      </w:r>
    </w:p>
    <w:p w:rsidR="000F0468" w:rsidRDefault="00BF6AFD">
      <w:pPr>
        <w:spacing w:before="240" w:line="300" w:lineRule="auto"/>
        <w:rPr>
          <w:rFonts w:ascii="黑体" w:eastAsia="黑体" w:hAnsi="黑体" w:cs="黑体"/>
          <w:bCs/>
          <w:kern w:val="0"/>
          <w:sz w:val="28"/>
          <w:szCs w:val="28"/>
        </w:rPr>
      </w:pPr>
      <w:r>
        <w:rPr>
          <w:rFonts w:ascii="黑体" w:eastAsia="黑体" w:hAnsi="黑体" w:cs="黑体" w:hint="eastAsia"/>
          <w:bCs/>
          <w:kern w:val="0"/>
          <w:sz w:val="28"/>
          <w:szCs w:val="28"/>
        </w:rPr>
        <w:lastRenderedPageBreak/>
        <w:t>十二、其他应予说明的事项</w:t>
      </w:r>
    </w:p>
    <w:p w:rsidR="000F0468" w:rsidRDefault="000F0468">
      <w:pPr>
        <w:spacing w:before="240" w:line="300" w:lineRule="auto"/>
        <w:ind w:firstLine="570"/>
        <w:rPr>
          <w:rFonts w:ascii="宋体" w:hAnsi="宋体" w:cs="宋体"/>
          <w:kern w:val="0"/>
          <w:szCs w:val="21"/>
        </w:rPr>
      </w:pPr>
    </w:p>
    <w:p w:rsidR="000F0468" w:rsidRDefault="000F0468">
      <w:pPr>
        <w:spacing w:before="240" w:line="300" w:lineRule="auto"/>
        <w:ind w:firstLine="570"/>
        <w:rPr>
          <w:rFonts w:ascii="宋体" w:hAnsi="宋体" w:cs="宋体"/>
          <w:kern w:val="0"/>
          <w:szCs w:val="21"/>
        </w:rPr>
      </w:pPr>
    </w:p>
    <w:p w:rsidR="000F0468" w:rsidRDefault="000F0468">
      <w:pPr>
        <w:spacing w:before="240" w:line="300" w:lineRule="auto"/>
        <w:ind w:firstLine="570"/>
        <w:rPr>
          <w:rFonts w:ascii="宋体" w:hAnsi="宋体" w:cs="宋体"/>
          <w:kern w:val="0"/>
          <w:szCs w:val="21"/>
        </w:rPr>
      </w:pPr>
    </w:p>
    <w:p w:rsidR="000F0468" w:rsidRDefault="00BF6AFD">
      <w:pPr>
        <w:spacing w:before="240" w:line="300" w:lineRule="auto"/>
        <w:ind w:firstLineChars="1367" w:firstLine="2871"/>
        <w:jc w:val="right"/>
        <w:rPr>
          <w:rFonts w:ascii="宋体" w:hAnsi="宋体" w:cs="宋体"/>
          <w:szCs w:val="21"/>
        </w:rPr>
      </w:pPr>
      <w:r>
        <w:rPr>
          <w:rFonts w:ascii="宋体" w:hAnsi="宋体" w:cs="宋体" w:hint="eastAsia"/>
          <w:szCs w:val="21"/>
        </w:rPr>
        <w:t>《工业氯化镁》行业标准起草工作组</w:t>
      </w:r>
    </w:p>
    <w:p w:rsidR="000F0468" w:rsidRDefault="00BF6AFD">
      <w:pPr>
        <w:spacing w:before="240" w:line="300" w:lineRule="auto"/>
        <w:ind w:leftChars="2228" w:left="4996" w:hangingChars="151" w:hanging="317"/>
        <w:jc w:val="center"/>
        <w:rPr>
          <w:rFonts w:ascii="宋体" w:hAnsi="宋体" w:cs="宋体"/>
          <w:szCs w:val="21"/>
        </w:rPr>
      </w:pPr>
      <w:r>
        <w:rPr>
          <w:rFonts w:ascii="宋体" w:hAnsi="宋体" w:cs="宋体" w:hint="eastAsia"/>
          <w:szCs w:val="21"/>
        </w:rPr>
        <w:t xml:space="preserve">  2025年5月25日</w:t>
      </w:r>
    </w:p>
    <w:sectPr w:rsidR="000F0468">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1D1" w:rsidRDefault="001421D1" w:rsidP="00417656">
      <w:r>
        <w:separator/>
      </w:r>
    </w:p>
  </w:endnote>
  <w:endnote w:type="continuationSeparator" w:id="0">
    <w:p w:rsidR="001421D1" w:rsidRDefault="001421D1" w:rsidP="0041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1D1" w:rsidRDefault="001421D1" w:rsidP="00417656">
      <w:r>
        <w:separator/>
      </w:r>
    </w:p>
  </w:footnote>
  <w:footnote w:type="continuationSeparator" w:id="0">
    <w:p w:rsidR="001421D1" w:rsidRDefault="001421D1" w:rsidP="004176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91163"/>
    <w:multiLevelType w:val="multilevel"/>
    <w:tmpl w:val="1FC91163"/>
    <w:lvl w:ilvl="0">
      <w:start w:val="1"/>
      <w:numFmt w:val="decimal"/>
      <w:pStyle w:val="a"/>
      <w:suff w:val="nothing"/>
      <w:lvlText w:val="%1　"/>
      <w:lvlJc w:val="left"/>
      <w:rPr>
        <w:rFonts w:ascii="黑体" w:eastAsia="黑体" w:hAnsi="Times New Roman" w:cs="Times New Roman" w:hint="default"/>
        <w:b w:val="0"/>
        <w:i w:val="0"/>
        <w:sz w:val="24"/>
        <w:szCs w:val="24"/>
      </w:rPr>
    </w:lvl>
    <w:lvl w:ilvl="1">
      <w:start w:val="1"/>
      <w:numFmt w:val="decimal"/>
      <w:pStyle w:val="a0"/>
      <w:suff w:val="nothing"/>
      <w:lvlText w:val="%1.%2　"/>
      <w:lvlJc w:val="left"/>
      <w:rPr>
        <w:rFonts w:ascii="黑体" w:eastAsia="黑体" w:hAnsi="Times New Roman" w:cs="Times New Roman" w:hint="default"/>
        <w:b w:val="0"/>
        <w:bCs w:val="0"/>
        <w:i w:val="0"/>
        <w:iCs w:val="0"/>
        <w:caps w:val="0"/>
        <w:strike w:val="0"/>
        <w:dstrike w:val="0"/>
        <w:outline w:val="0"/>
        <w:shadow w:val="0"/>
        <w:emboss w:val="0"/>
        <w:imprint w:val="0"/>
        <w:vanish w:val="0"/>
        <w:spacing w:val="0"/>
        <w:kern w:val="0"/>
        <w:position w:val="0"/>
        <w:sz w:val="24"/>
        <w:szCs w:val="24"/>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pStyle w:val="a2"/>
      <w:suff w:val="nothing"/>
      <w:lvlText w:val="%1.%2.%3.%4　"/>
      <w:lvlJc w:val="left"/>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 w15:restartNumberingAfterBreak="0">
    <w:nsid w:val="2C5917C3"/>
    <w:multiLevelType w:val="multilevel"/>
    <w:tmpl w:val="2C5917C3"/>
    <w:lvl w:ilvl="0">
      <w:start w:val="1"/>
      <w:numFmt w:val="none"/>
      <w:pStyle w:val="a5"/>
      <w:suff w:val="nothing"/>
      <w:lvlText w:val="%1——"/>
      <w:lvlJc w:val="left"/>
      <w:pPr>
        <w:ind w:left="1685" w:hanging="408"/>
      </w:pPr>
      <w:rPr>
        <w:rFonts w:hint="eastAsia"/>
      </w:rPr>
    </w:lvl>
    <w:lvl w:ilvl="1">
      <w:start w:val="1"/>
      <w:numFmt w:val="bullet"/>
      <w:lvlText w:val=""/>
      <w:lvlJc w:val="left"/>
      <w:pPr>
        <w:tabs>
          <w:tab w:val="left" w:pos="619"/>
        </w:tabs>
        <w:ind w:left="1123" w:hanging="413"/>
      </w:pPr>
      <w:rPr>
        <w:rFonts w:ascii="Symbol" w:hAnsi="Symbol" w:hint="default"/>
        <w:color w:val="auto"/>
      </w:rPr>
    </w:lvl>
    <w:lvl w:ilvl="2">
      <w:start w:val="1"/>
      <w:numFmt w:val="bullet"/>
      <w:lvlText w:val=""/>
      <w:lvlJc w:val="left"/>
      <w:pPr>
        <w:tabs>
          <w:tab w:val="left" w:pos="1537"/>
        </w:tabs>
        <w:ind w:left="1537" w:hanging="414"/>
      </w:pPr>
      <w:rPr>
        <w:rFonts w:ascii="Symbol" w:hAnsi="Symbol" w:hint="default"/>
        <w:color w:val="auto"/>
      </w:rPr>
    </w:lvl>
    <w:lvl w:ilvl="3">
      <w:start w:val="1"/>
      <w:numFmt w:val="decimal"/>
      <w:lvlText w:val="%4."/>
      <w:lvlJc w:val="left"/>
      <w:pPr>
        <w:tabs>
          <w:tab w:val="left" w:pos="1930"/>
        </w:tabs>
        <w:ind w:left="1743" w:hanging="528"/>
      </w:pPr>
      <w:rPr>
        <w:rFonts w:hint="eastAsia"/>
      </w:rPr>
    </w:lvl>
    <w:lvl w:ilvl="4">
      <w:start w:val="1"/>
      <w:numFmt w:val="lowerLetter"/>
      <w:lvlText w:val="%5)"/>
      <w:lvlJc w:val="left"/>
      <w:pPr>
        <w:tabs>
          <w:tab w:val="left" w:pos="2242"/>
        </w:tabs>
        <w:ind w:left="2055" w:hanging="528"/>
      </w:pPr>
      <w:rPr>
        <w:rFonts w:hint="eastAsia"/>
      </w:rPr>
    </w:lvl>
    <w:lvl w:ilvl="5">
      <w:start w:val="1"/>
      <w:numFmt w:val="lowerRoman"/>
      <w:lvlText w:val="%6."/>
      <w:lvlJc w:val="right"/>
      <w:pPr>
        <w:tabs>
          <w:tab w:val="left" w:pos="2554"/>
        </w:tabs>
        <w:ind w:left="2367" w:hanging="528"/>
      </w:pPr>
      <w:rPr>
        <w:rFonts w:hint="eastAsia"/>
      </w:rPr>
    </w:lvl>
    <w:lvl w:ilvl="6">
      <w:start w:val="1"/>
      <w:numFmt w:val="decimal"/>
      <w:lvlText w:val="%7."/>
      <w:lvlJc w:val="left"/>
      <w:pPr>
        <w:tabs>
          <w:tab w:val="left" w:pos="2866"/>
        </w:tabs>
        <w:ind w:left="2679" w:hanging="528"/>
      </w:pPr>
      <w:rPr>
        <w:rFonts w:hint="eastAsia"/>
      </w:rPr>
    </w:lvl>
    <w:lvl w:ilvl="7">
      <w:start w:val="1"/>
      <w:numFmt w:val="lowerLetter"/>
      <w:lvlText w:val="%8)"/>
      <w:lvlJc w:val="left"/>
      <w:pPr>
        <w:tabs>
          <w:tab w:val="left" w:pos="3178"/>
        </w:tabs>
        <w:ind w:left="2991" w:hanging="528"/>
      </w:pPr>
      <w:rPr>
        <w:rFonts w:hint="eastAsia"/>
      </w:rPr>
    </w:lvl>
    <w:lvl w:ilvl="8">
      <w:start w:val="1"/>
      <w:numFmt w:val="lowerRoman"/>
      <w:lvlText w:val="%9."/>
      <w:lvlJc w:val="right"/>
      <w:pPr>
        <w:tabs>
          <w:tab w:val="left" w:pos="3490"/>
        </w:tabs>
        <w:ind w:left="3303" w:hanging="528"/>
      </w:pPr>
      <w:rPr>
        <w:rFonts w:hint="eastAsia"/>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DA6"/>
    <w:rsid w:val="0000256E"/>
    <w:rsid w:val="0000264E"/>
    <w:rsid w:val="000040D2"/>
    <w:rsid w:val="00005A07"/>
    <w:rsid w:val="00011B39"/>
    <w:rsid w:val="000129F0"/>
    <w:rsid w:val="00012A72"/>
    <w:rsid w:val="000138ED"/>
    <w:rsid w:val="000156A2"/>
    <w:rsid w:val="0001707C"/>
    <w:rsid w:val="00023459"/>
    <w:rsid w:val="0002353A"/>
    <w:rsid w:val="00023A6B"/>
    <w:rsid w:val="00026B41"/>
    <w:rsid w:val="000325C1"/>
    <w:rsid w:val="000348AE"/>
    <w:rsid w:val="000447EF"/>
    <w:rsid w:val="00044B33"/>
    <w:rsid w:val="00047C09"/>
    <w:rsid w:val="00050E8C"/>
    <w:rsid w:val="00051C64"/>
    <w:rsid w:val="00053862"/>
    <w:rsid w:val="00054126"/>
    <w:rsid w:val="00055A58"/>
    <w:rsid w:val="00062F7D"/>
    <w:rsid w:val="00062FEB"/>
    <w:rsid w:val="00064C96"/>
    <w:rsid w:val="00065865"/>
    <w:rsid w:val="00067585"/>
    <w:rsid w:val="00070584"/>
    <w:rsid w:val="000714D8"/>
    <w:rsid w:val="000717FA"/>
    <w:rsid w:val="00074454"/>
    <w:rsid w:val="0007552C"/>
    <w:rsid w:val="0007588F"/>
    <w:rsid w:val="00075CF4"/>
    <w:rsid w:val="0007600D"/>
    <w:rsid w:val="00077261"/>
    <w:rsid w:val="00080509"/>
    <w:rsid w:val="0008063C"/>
    <w:rsid w:val="000833EE"/>
    <w:rsid w:val="00083D8A"/>
    <w:rsid w:val="0009024C"/>
    <w:rsid w:val="000934C0"/>
    <w:rsid w:val="00095A15"/>
    <w:rsid w:val="000972E3"/>
    <w:rsid w:val="000A4DD0"/>
    <w:rsid w:val="000B084D"/>
    <w:rsid w:val="000B1505"/>
    <w:rsid w:val="000B1AB9"/>
    <w:rsid w:val="000B6787"/>
    <w:rsid w:val="000B7F5F"/>
    <w:rsid w:val="000C11E2"/>
    <w:rsid w:val="000C47C2"/>
    <w:rsid w:val="000C4999"/>
    <w:rsid w:val="000C4DD7"/>
    <w:rsid w:val="000C6EBF"/>
    <w:rsid w:val="000C7604"/>
    <w:rsid w:val="000D2957"/>
    <w:rsid w:val="000D2BDA"/>
    <w:rsid w:val="000D3B74"/>
    <w:rsid w:val="000E0B92"/>
    <w:rsid w:val="000E1BA6"/>
    <w:rsid w:val="000E31CC"/>
    <w:rsid w:val="000E35A3"/>
    <w:rsid w:val="000E3A07"/>
    <w:rsid w:val="000E4FA2"/>
    <w:rsid w:val="000F0468"/>
    <w:rsid w:val="000F5E19"/>
    <w:rsid w:val="000F6FC5"/>
    <w:rsid w:val="000F7844"/>
    <w:rsid w:val="001002BD"/>
    <w:rsid w:val="00107696"/>
    <w:rsid w:val="001076A8"/>
    <w:rsid w:val="00110AA8"/>
    <w:rsid w:val="00113942"/>
    <w:rsid w:val="0011506B"/>
    <w:rsid w:val="00121743"/>
    <w:rsid w:val="00123504"/>
    <w:rsid w:val="001279B3"/>
    <w:rsid w:val="001300F7"/>
    <w:rsid w:val="00136EFD"/>
    <w:rsid w:val="00140312"/>
    <w:rsid w:val="001421D1"/>
    <w:rsid w:val="001430EA"/>
    <w:rsid w:val="00147A59"/>
    <w:rsid w:val="00147BF7"/>
    <w:rsid w:val="001508DC"/>
    <w:rsid w:val="001519C7"/>
    <w:rsid w:val="00154F0E"/>
    <w:rsid w:val="0015655D"/>
    <w:rsid w:val="00157E51"/>
    <w:rsid w:val="001624D6"/>
    <w:rsid w:val="00164195"/>
    <w:rsid w:val="001650D1"/>
    <w:rsid w:val="00167A00"/>
    <w:rsid w:val="00170AD9"/>
    <w:rsid w:val="00170BFF"/>
    <w:rsid w:val="00170E83"/>
    <w:rsid w:val="0017111F"/>
    <w:rsid w:val="00172044"/>
    <w:rsid w:val="0017270D"/>
    <w:rsid w:val="001749A6"/>
    <w:rsid w:val="001764B4"/>
    <w:rsid w:val="00176648"/>
    <w:rsid w:val="001805BB"/>
    <w:rsid w:val="00180C79"/>
    <w:rsid w:val="001819FC"/>
    <w:rsid w:val="00191256"/>
    <w:rsid w:val="001921A4"/>
    <w:rsid w:val="00194567"/>
    <w:rsid w:val="00194C9D"/>
    <w:rsid w:val="001A01CD"/>
    <w:rsid w:val="001A038C"/>
    <w:rsid w:val="001A055E"/>
    <w:rsid w:val="001A2AE0"/>
    <w:rsid w:val="001A37CD"/>
    <w:rsid w:val="001A63B0"/>
    <w:rsid w:val="001B0D74"/>
    <w:rsid w:val="001B1627"/>
    <w:rsid w:val="001B16C2"/>
    <w:rsid w:val="001B57AF"/>
    <w:rsid w:val="001B5EED"/>
    <w:rsid w:val="001B6812"/>
    <w:rsid w:val="001C3F7B"/>
    <w:rsid w:val="001C52E9"/>
    <w:rsid w:val="001D1CD1"/>
    <w:rsid w:val="001D3AB0"/>
    <w:rsid w:val="001D4A1D"/>
    <w:rsid w:val="001D5848"/>
    <w:rsid w:val="001D5A2A"/>
    <w:rsid w:val="001E072E"/>
    <w:rsid w:val="001E1979"/>
    <w:rsid w:val="001E2CE1"/>
    <w:rsid w:val="001E48C8"/>
    <w:rsid w:val="001F09C5"/>
    <w:rsid w:val="001F3CAA"/>
    <w:rsid w:val="001F3CC0"/>
    <w:rsid w:val="001F4A3B"/>
    <w:rsid w:val="001F5E0F"/>
    <w:rsid w:val="001F626D"/>
    <w:rsid w:val="001F7556"/>
    <w:rsid w:val="001F7685"/>
    <w:rsid w:val="001F7CD3"/>
    <w:rsid w:val="002048E1"/>
    <w:rsid w:val="00206718"/>
    <w:rsid w:val="00210121"/>
    <w:rsid w:val="00214896"/>
    <w:rsid w:val="002156B9"/>
    <w:rsid w:val="00220509"/>
    <w:rsid w:val="00221FB2"/>
    <w:rsid w:val="00224653"/>
    <w:rsid w:val="002308E1"/>
    <w:rsid w:val="00231304"/>
    <w:rsid w:val="0023143A"/>
    <w:rsid w:val="00232719"/>
    <w:rsid w:val="00233E4F"/>
    <w:rsid w:val="00234B19"/>
    <w:rsid w:val="00241CDD"/>
    <w:rsid w:val="00242451"/>
    <w:rsid w:val="00245907"/>
    <w:rsid w:val="00245D4A"/>
    <w:rsid w:val="002460F3"/>
    <w:rsid w:val="00246769"/>
    <w:rsid w:val="00250064"/>
    <w:rsid w:val="0025139D"/>
    <w:rsid w:val="00251497"/>
    <w:rsid w:val="0025167E"/>
    <w:rsid w:val="0025207C"/>
    <w:rsid w:val="002531B3"/>
    <w:rsid w:val="0025400E"/>
    <w:rsid w:val="002549F3"/>
    <w:rsid w:val="00255813"/>
    <w:rsid w:val="00257CE0"/>
    <w:rsid w:val="00263017"/>
    <w:rsid w:val="00263590"/>
    <w:rsid w:val="00263785"/>
    <w:rsid w:val="00267E2B"/>
    <w:rsid w:val="0027533A"/>
    <w:rsid w:val="00276D84"/>
    <w:rsid w:val="00280485"/>
    <w:rsid w:val="00282655"/>
    <w:rsid w:val="00293686"/>
    <w:rsid w:val="00293CB1"/>
    <w:rsid w:val="0029407F"/>
    <w:rsid w:val="002940CD"/>
    <w:rsid w:val="002A17ED"/>
    <w:rsid w:val="002A2E9E"/>
    <w:rsid w:val="002A3023"/>
    <w:rsid w:val="002A3C4E"/>
    <w:rsid w:val="002A5A41"/>
    <w:rsid w:val="002A5E51"/>
    <w:rsid w:val="002A77BD"/>
    <w:rsid w:val="002A7B26"/>
    <w:rsid w:val="002B6583"/>
    <w:rsid w:val="002B6A65"/>
    <w:rsid w:val="002B76E2"/>
    <w:rsid w:val="002C03C4"/>
    <w:rsid w:val="002C0A18"/>
    <w:rsid w:val="002C1ACE"/>
    <w:rsid w:val="002C337C"/>
    <w:rsid w:val="002C3D89"/>
    <w:rsid w:val="002C4DBC"/>
    <w:rsid w:val="002D0AA4"/>
    <w:rsid w:val="002D28F2"/>
    <w:rsid w:val="002D59A6"/>
    <w:rsid w:val="002D713E"/>
    <w:rsid w:val="002E270B"/>
    <w:rsid w:val="002E5D1B"/>
    <w:rsid w:val="002E6FCF"/>
    <w:rsid w:val="002F2E3D"/>
    <w:rsid w:val="002F3610"/>
    <w:rsid w:val="002F3C4E"/>
    <w:rsid w:val="002F3D3D"/>
    <w:rsid w:val="002F6BA7"/>
    <w:rsid w:val="002F7BFB"/>
    <w:rsid w:val="00301C36"/>
    <w:rsid w:val="00303E1B"/>
    <w:rsid w:val="00303FA4"/>
    <w:rsid w:val="0030645A"/>
    <w:rsid w:val="003133C8"/>
    <w:rsid w:val="00314695"/>
    <w:rsid w:val="0031584A"/>
    <w:rsid w:val="00316F3E"/>
    <w:rsid w:val="0032070F"/>
    <w:rsid w:val="00325F89"/>
    <w:rsid w:val="00327196"/>
    <w:rsid w:val="00327F77"/>
    <w:rsid w:val="00332A7A"/>
    <w:rsid w:val="003347D8"/>
    <w:rsid w:val="0033706D"/>
    <w:rsid w:val="003372F7"/>
    <w:rsid w:val="00340C34"/>
    <w:rsid w:val="00340E0F"/>
    <w:rsid w:val="00346EFD"/>
    <w:rsid w:val="003477C6"/>
    <w:rsid w:val="00347BBA"/>
    <w:rsid w:val="00347E56"/>
    <w:rsid w:val="003507A4"/>
    <w:rsid w:val="003519CA"/>
    <w:rsid w:val="00352973"/>
    <w:rsid w:val="00353CC2"/>
    <w:rsid w:val="0035411C"/>
    <w:rsid w:val="00356D05"/>
    <w:rsid w:val="003617FC"/>
    <w:rsid w:val="0036202D"/>
    <w:rsid w:val="00362832"/>
    <w:rsid w:val="00363396"/>
    <w:rsid w:val="00363412"/>
    <w:rsid w:val="003654B6"/>
    <w:rsid w:val="003675DD"/>
    <w:rsid w:val="003711B3"/>
    <w:rsid w:val="00372125"/>
    <w:rsid w:val="003721F8"/>
    <w:rsid w:val="00372D03"/>
    <w:rsid w:val="00373547"/>
    <w:rsid w:val="00374960"/>
    <w:rsid w:val="003802B6"/>
    <w:rsid w:val="00380349"/>
    <w:rsid w:val="00392636"/>
    <w:rsid w:val="003950E4"/>
    <w:rsid w:val="00396205"/>
    <w:rsid w:val="0039710C"/>
    <w:rsid w:val="00397773"/>
    <w:rsid w:val="003A0486"/>
    <w:rsid w:val="003A22DA"/>
    <w:rsid w:val="003A36DD"/>
    <w:rsid w:val="003A507C"/>
    <w:rsid w:val="003B3084"/>
    <w:rsid w:val="003B4935"/>
    <w:rsid w:val="003B4FBC"/>
    <w:rsid w:val="003B5527"/>
    <w:rsid w:val="003B55A5"/>
    <w:rsid w:val="003B7109"/>
    <w:rsid w:val="003C050D"/>
    <w:rsid w:val="003C0E62"/>
    <w:rsid w:val="003C1E0D"/>
    <w:rsid w:val="003C1F19"/>
    <w:rsid w:val="003C3084"/>
    <w:rsid w:val="003C343F"/>
    <w:rsid w:val="003C382B"/>
    <w:rsid w:val="003C3D27"/>
    <w:rsid w:val="003C7D33"/>
    <w:rsid w:val="003D1889"/>
    <w:rsid w:val="003D1E03"/>
    <w:rsid w:val="003D3A51"/>
    <w:rsid w:val="003E0382"/>
    <w:rsid w:val="003E318A"/>
    <w:rsid w:val="003E4F84"/>
    <w:rsid w:val="003E56EE"/>
    <w:rsid w:val="003E6F42"/>
    <w:rsid w:val="003F5021"/>
    <w:rsid w:val="0040204C"/>
    <w:rsid w:val="0040364C"/>
    <w:rsid w:val="00404147"/>
    <w:rsid w:val="004041FC"/>
    <w:rsid w:val="00404C4E"/>
    <w:rsid w:val="00406892"/>
    <w:rsid w:val="004159F4"/>
    <w:rsid w:val="00417656"/>
    <w:rsid w:val="004223C1"/>
    <w:rsid w:val="00424986"/>
    <w:rsid w:val="00425A3C"/>
    <w:rsid w:val="00427F21"/>
    <w:rsid w:val="00436695"/>
    <w:rsid w:val="00437769"/>
    <w:rsid w:val="00440744"/>
    <w:rsid w:val="00442D8A"/>
    <w:rsid w:val="00447A3B"/>
    <w:rsid w:val="00447FD1"/>
    <w:rsid w:val="004512A0"/>
    <w:rsid w:val="00460085"/>
    <w:rsid w:val="004664C9"/>
    <w:rsid w:val="00467C72"/>
    <w:rsid w:val="00471E0C"/>
    <w:rsid w:val="0047283A"/>
    <w:rsid w:val="004737D9"/>
    <w:rsid w:val="00474D1E"/>
    <w:rsid w:val="004765A9"/>
    <w:rsid w:val="004808C8"/>
    <w:rsid w:val="0048192D"/>
    <w:rsid w:val="00482802"/>
    <w:rsid w:val="004856AE"/>
    <w:rsid w:val="00485D86"/>
    <w:rsid w:val="00486B5C"/>
    <w:rsid w:val="00487A96"/>
    <w:rsid w:val="004907AD"/>
    <w:rsid w:val="00491206"/>
    <w:rsid w:val="00491FAB"/>
    <w:rsid w:val="004929A4"/>
    <w:rsid w:val="00493105"/>
    <w:rsid w:val="00493C16"/>
    <w:rsid w:val="00494967"/>
    <w:rsid w:val="00494B9A"/>
    <w:rsid w:val="00495B4D"/>
    <w:rsid w:val="004A1940"/>
    <w:rsid w:val="004A3886"/>
    <w:rsid w:val="004A3EEA"/>
    <w:rsid w:val="004A50E0"/>
    <w:rsid w:val="004A6A9A"/>
    <w:rsid w:val="004A78DA"/>
    <w:rsid w:val="004A7DB3"/>
    <w:rsid w:val="004B1609"/>
    <w:rsid w:val="004B189B"/>
    <w:rsid w:val="004B5962"/>
    <w:rsid w:val="004C0839"/>
    <w:rsid w:val="004C272A"/>
    <w:rsid w:val="004C3500"/>
    <w:rsid w:val="004C5527"/>
    <w:rsid w:val="004D068A"/>
    <w:rsid w:val="004D0A31"/>
    <w:rsid w:val="004D1F24"/>
    <w:rsid w:val="004D2062"/>
    <w:rsid w:val="004D25A6"/>
    <w:rsid w:val="004D3A73"/>
    <w:rsid w:val="004D5DC9"/>
    <w:rsid w:val="004D6F5B"/>
    <w:rsid w:val="004E5990"/>
    <w:rsid w:val="004E5E45"/>
    <w:rsid w:val="004F0DDB"/>
    <w:rsid w:val="004F149E"/>
    <w:rsid w:val="004F2ED3"/>
    <w:rsid w:val="004F39F0"/>
    <w:rsid w:val="004F51C8"/>
    <w:rsid w:val="004F7ABC"/>
    <w:rsid w:val="004F7EF4"/>
    <w:rsid w:val="005003E7"/>
    <w:rsid w:val="005008B8"/>
    <w:rsid w:val="005016A8"/>
    <w:rsid w:val="00503930"/>
    <w:rsid w:val="00505BAC"/>
    <w:rsid w:val="00506F2A"/>
    <w:rsid w:val="00512FA5"/>
    <w:rsid w:val="0051361E"/>
    <w:rsid w:val="00513F17"/>
    <w:rsid w:val="00517111"/>
    <w:rsid w:val="00517D18"/>
    <w:rsid w:val="00517D34"/>
    <w:rsid w:val="00521D0D"/>
    <w:rsid w:val="00522616"/>
    <w:rsid w:val="00523363"/>
    <w:rsid w:val="005255F3"/>
    <w:rsid w:val="005267BC"/>
    <w:rsid w:val="00526C7D"/>
    <w:rsid w:val="00530CC1"/>
    <w:rsid w:val="005329D6"/>
    <w:rsid w:val="00533608"/>
    <w:rsid w:val="00534099"/>
    <w:rsid w:val="0053433C"/>
    <w:rsid w:val="00534683"/>
    <w:rsid w:val="00534871"/>
    <w:rsid w:val="0053544A"/>
    <w:rsid w:val="00537816"/>
    <w:rsid w:val="00541B83"/>
    <w:rsid w:val="00541F71"/>
    <w:rsid w:val="005535FB"/>
    <w:rsid w:val="005554C4"/>
    <w:rsid w:val="005569B6"/>
    <w:rsid w:val="00556EB2"/>
    <w:rsid w:val="00557214"/>
    <w:rsid w:val="00557C78"/>
    <w:rsid w:val="00565541"/>
    <w:rsid w:val="005745D1"/>
    <w:rsid w:val="005748B6"/>
    <w:rsid w:val="00575081"/>
    <w:rsid w:val="005879B1"/>
    <w:rsid w:val="00590192"/>
    <w:rsid w:val="0059112A"/>
    <w:rsid w:val="00593EFA"/>
    <w:rsid w:val="00594085"/>
    <w:rsid w:val="00596F89"/>
    <w:rsid w:val="005A1D0F"/>
    <w:rsid w:val="005A200A"/>
    <w:rsid w:val="005A305D"/>
    <w:rsid w:val="005A5579"/>
    <w:rsid w:val="005A597D"/>
    <w:rsid w:val="005A6BE9"/>
    <w:rsid w:val="005A6C22"/>
    <w:rsid w:val="005B18BD"/>
    <w:rsid w:val="005B27D8"/>
    <w:rsid w:val="005B2EEF"/>
    <w:rsid w:val="005B4657"/>
    <w:rsid w:val="005B5004"/>
    <w:rsid w:val="005B5ACA"/>
    <w:rsid w:val="005B6FAF"/>
    <w:rsid w:val="005C0470"/>
    <w:rsid w:val="005C0AF5"/>
    <w:rsid w:val="005C2E19"/>
    <w:rsid w:val="005C5573"/>
    <w:rsid w:val="005D0D28"/>
    <w:rsid w:val="005D2159"/>
    <w:rsid w:val="005D38B0"/>
    <w:rsid w:val="005E1229"/>
    <w:rsid w:val="005E14F0"/>
    <w:rsid w:val="005E3435"/>
    <w:rsid w:val="005F41CF"/>
    <w:rsid w:val="005F4B5E"/>
    <w:rsid w:val="005F6C7E"/>
    <w:rsid w:val="00601DD3"/>
    <w:rsid w:val="0060281D"/>
    <w:rsid w:val="00610AF8"/>
    <w:rsid w:val="00611380"/>
    <w:rsid w:val="00615B1D"/>
    <w:rsid w:val="006209D4"/>
    <w:rsid w:val="006228B5"/>
    <w:rsid w:val="006246F0"/>
    <w:rsid w:val="006258E3"/>
    <w:rsid w:val="006279E7"/>
    <w:rsid w:val="006329FF"/>
    <w:rsid w:val="00635FED"/>
    <w:rsid w:val="00636B17"/>
    <w:rsid w:val="00640C4D"/>
    <w:rsid w:val="00641E16"/>
    <w:rsid w:val="00645511"/>
    <w:rsid w:val="006506B3"/>
    <w:rsid w:val="0065119A"/>
    <w:rsid w:val="00652271"/>
    <w:rsid w:val="00652E9E"/>
    <w:rsid w:val="00656C47"/>
    <w:rsid w:val="0066123F"/>
    <w:rsid w:val="006649AE"/>
    <w:rsid w:val="00664D68"/>
    <w:rsid w:val="00665672"/>
    <w:rsid w:val="006663DE"/>
    <w:rsid w:val="00671DC3"/>
    <w:rsid w:val="00672A65"/>
    <w:rsid w:val="00674C4F"/>
    <w:rsid w:val="0067683B"/>
    <w:rsid w:val="006805A8"/>
    <w:rsid w:val="00680B16"/>
    <w:rsid w:val="00681495"/>
    <w:rsid w:val="00681E96"/>
    <w:rsid w:val="006832EE"/>
    <w:rsid w:val="0068400D"/>
    <w:rsid w:val="00684B04"/>
    <w:rsid w:val="006865BD"/>
    <w:rsid w:val="0069169F"/>
    <w:rsid w:val="006A076A"/>
    <w:rsid w:val="006A643A"/>
    <w:rsid w:val="006B339A"/>
    <w:rsid w:val="006B51BC"/>
    <w:rsid w:val="006C059A"/>
    <w:rsid w:val="006C05C6"/>
    <w:rsid w:val="006C1BDE"/>
    <w:rsid w:val="006D0A86"/>
    <w:rsid w:val="006D0F72"/>
    <w:rsid w:val="006D2E78"/>
    <w:rsid w:val="006D384D"/>
    <w:rsid w:val="006D3896"/>
    <w:rsid w:val="006D776F"/>
    <w:rsid w:val="006E3CF5"/>
    <w:rsid w:val="006E4479"/>
    <w:rsid w:val="006E5E40"/>
    <w:rsid w:val="006E6077"/>
    <w:rsid w:val="006F0422"/>
    <w:rsid w:val="006F1A00"/>
    <w:rsid w:val="006F4638"/>
    <w:rsid w:val="006F49FC"/>
    <w:rsid w:val="006F5EB7"/>
    <w:rsid w:val="006F75BE"/>
    <w:rsid w:val="006F7629"/>
    <w:rsid w:val="006F76B3"/>
    <w:rsid w:val="00700F3C"/>
    <w:rsid w:val="007031D2"/>
    <w:rsid w:val="00703ECA"/>
    <w:rsid w:val="007046EC"/>
    <w:rsid w:val="00711591"/>
    <w:rsid w:val="00711A96"/>
    <w:rsid w:val="00711E8B"/>
    <w:rsid w:val="00717404"/>
    <w:rsid w:val="00723DEA"/>
    <w:rsid w:val="00726C14"/>
    <w:rsid w:val="0073571E"/>
    <w:rsid w:val="0073718A"/>
    <w:rsid w:val="0074087C"/>
    <w:rsid w:val="00742606"/>
    <w:rsid w:val="00742B5E"/>
    <w:rsid w:val="007536A3"/>
    <w:rsid w:val="00753CB9"/>
    <w:rsid w:val="00754430"/>
    <w:rsid w:val="0075759E"/>
    <w:rsid w:val="00757ABD"/>
    <w:rsid w:val="00762CB6"/>
    <w:rsid w:val="00772EDB"/>
    <w:rsid w:val="00773A57"/>
    <w:rsid w:val="00773B8C"/>
    <w:rsid w:val="00775266"/>
    <w:rsid w:val="00775C18"/>
    <w:rsid w:val="00777E6F"/>
    <w:rsid w:val="007832E6"/>
    <w:rsid w:val="00785367"/>
    <w:rsid w:val="00785926"/>
    <w:rsid w:val="00787BA4"/>
    <w:rsid w:val="007900BA"/>
    <w:rsid w:val="00790BFC"/>
    <w:rsid w:val="00795A8B"/>
    <w:rsid w:val="00796367"/>
    <w:rsid w:val="00797E6B"/>
    <w:rsid w:val="007A043F"/>
    <w:rsid w:val="007A2046"/>
    <w:rsid w:val="007A41AF"/>
    <w:rsid w:val="007A654C"/>
    <w:rsid w:val="007A6B55"/>
    <w:rsid w:val="007A6F2B"/>
    <w:rsid w:val="007B08ED"/>
    <w:rsid w:val="007B0DB6"/>
    <w:rsid w:val="007B11CA"/>
    <w:rsid w:val="007B143C"/>
    <w:rsid w:val="007B3FF4"/>
    <w:rsid w:val="007C00B7"/>
    <w:rsid w:val="007C0D53"/>
    <w:rsid w:val="007C13B5"/>
    <w:rsid w:val="007C169F"/>
    <w:rsid w:val="007C2EDF"/>
    <w:rsid w:val="007C7C9D"/>
    <w:rsid w:val="007D4FF3"/>
    <w:rsid w:val="007D53F9"/>
    <w:rsid w:val="007D72A1"/>
    <w:rsid w:val="007E5147"/>
    <w:rsid w:val="007E5DAD"/>
    <w:rsid w:val="007F1384"/>
    <w:rsid w:val="007F1D6D"/>
    <w:rsid w:val="007F2D19"/>
    <w:rsid w:val="007F3181"/>
    <w:rsid w:val="007F7277"/>
    <w:rsid w:val="007F7ACD"/>
    <w:rsid w:val="0080423C"/>
    <w:rsid w:val="00805380"/>
    <w:rsid w:val="00810A04"/>
    <w:rsid w:val="00813D84"/>
    <w:rsid w:val="00816109"/>
    <w:rsid w:val="00817C16"/>
    <w:rsid w:val="008203A1"/>
    <w:rsid w:val="00822DEC"/>
    <w:rsid w:val="008234E0"/>
    <w:rsid w:val="008256C1"/>
    <w:rsid w:val="00827136"/>
    <w:rsid w:val="008273B0"/>
    <w:rsid w:val="0082781D"/>
    <w:rsid w:val="00827BE7"/>
    <w:rsid w:val="008309A8"/>
    <w:rsid w:val="00831D4B"/>
    <w:rsid w:val="00834046"/>
    <w:rsid w:val="00834FD3"/>
    <w:rsid w:val="00835878"/>
    <w:rsid w:val="00837275"/>
    <w:rsid w:val="0084406E"/>
    <w:rsid w:val="0085023B"/>
    <w:rsid w:val="008505F2"/>
    <w:rsid w:val="008525B2"/>
    <w:rsid w:val="00852C81"/>
    <w:rsid w:val="00856BF1"/>
    <w:rsid w:val="00857C59"/>
    <w:rsid w:val="00863A41"/>
    <w:rsid w:val="008653C7"/>
    <w:rsid w:val="0087085B"/>
    <w:rsid w:val="0087086E"/>
    <w:rsid w:val="0087408D"/>
    <w:rsid w:val="0087500F"/>
    <w:rsid w:val="00876A9B"/>
    <w:rsid w:val="00877632"/>
    <w:rsid w:val="008811F0"/>
    <w:rsid w:val="0088296A"/>
    <w:rsid w:val="00886212"/>
    <w:rsid w:val="008869DD"/>
    <w:rsid w:val="008903EF"/>
    <w:rsid w:val="00891503"/>
    <w:rsid w:val="00892BAF"/>
    <w:rsid w:val="008947E3"/>
    <w:rsid w:val="00897131"/>
    <w:rsid w:val="00897312"/>
    <w:rsid w:val="00897C35"/>
    <w:rsid w:val="008A1359"/>
    <w:rsid w:val="008A20E6"/>
    <w:rsid w:val="008A3269"/>
    <w:rsid w:val="008A3CC3"/>
    <w:rsid w:val="008A421E"/>
    <w:rsid w:val="008B1ED5"/>
    <w:rsid w:val="008B2461"/>
    <w:rsid w:val="008B31E6"/>
    <w:rsid w:val="008B5248"/>
    <w:rsid w:val="008B618B"/>
    <w:rsid w:val="008B62B2"/>
    <w:rsid w:val="008C12FD"/>
    <w:rsid w:val="008C6C83"/>
    <w:rsid w:val="008D493E"/>
    <w:rsid w:val="008D4A08"/>
    <w:rsid w:val="008D66C8"/>
    <w:rsid w:val="008D7A7B"/>
    <w:rsid w:val="008D7E3E"/>
    <w:rsid w:val="008E1CD6"/>
    <w:rsid w:val="008E35E8"/>
    <w:rsid w:val="008E6D9A"/>
    <w:rsid w:val="008F47C3"/>
    <w:rsid w:val="008F5562"/>
    <w:rsid w:val="008F6855"/>
    <w:rsid w:val="009011A7"/>
    <w:rsid w:val="00901287"/>
    <w:rsid w:val="00903205"/>
    <w:rsid w:val="00904F47"/>
    <w:rsid w:val="00910EDE"/>
    <w:rsid w:val="009132FA"/>
    <w:rsid w:val="0091485A"/>
    <w:rsid w:val="009152C5"/>
    <w:rsid w:val="00917E09"/>
    <w:rsid w:val="009206C6"/>
    <w:rsid w:val="0092136D"/>
    <w:rsid w:val="00921B9F"/>
    <w:rsid w:val="00921C60"/>
    <w:rsid w:val="0092596F"/>
    <w:rsid w:val="0093118B"/>
    <w:rsid w:val="0093253A"/>
    <w:rsid w:val="00932CF3"/>
    <w:rsid w:val="00932EFE"/>
    <w:rsid w:val="00934108"/>
    <w:rsid w:val="00936274"/>
    <w:rsid w:val="00940A81"/>
    <w:rsid w:val="00942202"/>
    <w:rsid w:val="00945189"/>
    <w:rsid w:val="009451C6"/>
    <w:rsid w:val="009503D5"/>
    <w:rsid w:val="009513B3"/>
    <w:rsid w:val="00956136"/>
    <w:rsid w:val="0096180E"/>
    <w:rsid w:val="009648B1"/>
    <w:rsid w:val="00965A35"/>
    <w:rsid w:val="00967E0D"/>
    <w:rsid w:val="009761D3"/>
    <w:rsid w:val="00977812"/>
    <w:rsid w:val="0098318F"/>
    <w:rsid w:val="00985D2F"/>
    <w:rsid w:val="009861BB"/>
    <w:rsid w:val="00990867"/>
    <w:rsid w:val="00990E5F"/>
    <w:rsid w:val="009911FA"/>
    <w:rsid w:val="00991D72"/>
    <w:rsid w:val="00993025"/>
    <w:rsid w:val="009952A3"/>
    <w:rsid w:val="009956D4"/>
    <w:rsid w:val="009A0D1F"/>
    <w:rsid w:val="009A212D"/>
    <w:rsid w:val="009A39F5"/>
    <w:rsid w:val="009A49A8"/>
    <w:rsid w:val="009A4B70"/>
    <w:rsid w:val="009A5644"/>
    <w:rsid w:val="009B2ADB"/>
    <w:rsid w:val="009B32DB"/>
    <w:rsid w:val="009C0092"/>
    <w:rsid w:val="009C0727"/>
    <w:rsid w:val="009C0733"/>
    <w:rsid w:val="009C1E12"/>
    <w:rsid w:val="009C4A66"/>
    <w:rsid w:val="009C6F28"/>
    <w:rsid w:val="009D00A7"/>
    <w:rsid w:val="009D0B73"/>
    <w:rsid w:val="009D4F28"/>
    <w:rsid w:val="009D5A33"/>
    <w:rsid w:val="009D7C8B"/>
    <w:rsid w:val="009E3125"/>
    <w:rsid w:val="009E5908"/>
    <w:rsid w:val="009E5E3B"/>
    <w:rsid w:val="009E6732"/>
    <w:rsid w:val="009E6A96"/>
    <w:rsid w:val="009F2DB7"/>
    <w:rsid w:val="009F617E"/>
    <w:rsid w:val="009F66D5"/>
    <w:rsid w:val="009F6F45"/>
    <w:rsid w:val="00A03D26"/>
    <w:rsid w:val="00A0644A"/>
    <w:rsid w:val="00A064F2"/>
    <w:rsid w:val="00A108FD"/>
    <w:rsid w:val="00A115C5"/>
    <w:rsid w:val="00A13B9D"/>
    <w:rsid w:val="00A14CDC"/>
    <w:rsid w:val="00A16F1C"/>
    <w:rsid w:val="00A17DB2"/>
    <w:rsid w:val="00A229F5"/>
    <w:rsid w:val="00A23605"/>
    <w:rsid w:val="00A24AF6"/>
    <w:rsid w:val="00A24CBE"/>
    <w:rsid w:val="00A30486"/>
    <w:rsid w:val="00A30C37"/>
    <w:rsid w:val="00A3721F"/>
    <w:rsid w:val="00A417AA"/>
    <w:rsid w:val="00A425B0"/>
    <w:rsid w:val="00A5244B"/>
    <w:rsid w:val="00A57326"/>
    <w:rsid w:val="00A605C8"/>
    <w:rsid w:val="00A629EC"/>
    <w:rsid w:val="00A634B1"/>
    <w:rsid w:val="00A73FC8"/>
    <w:rsid w:val="00A750BA"/>
    <w:rsid w:val="00A77B40"/>
    <w:rsid w:val="00A85D5E"/>
    <w:rsid w:val="00A862DF"/>
    <w:rsid w:val="00A90B87"/>
    <w:rsid w:val="00A9151B"/>
    <w:rsid w:val="00A9191D"/>
    <w:rsid w:val="00A91B39"/>
    <w:rsid w:val="00A96AE9"/>
    <w:rsid w:val="00AA2B5B"/>
    <w:rsid w:val="00AA38F4"/>
    <w:rsid w:val="00AA5B1D"/>
    <w:rsid w:val="00AA668F"/>
    <w:rsid w:val="00AA7655"/>
    <w:rsid w:val="00AB0986"/>
    <w:rsid w:val="00AB4019"/>
    <w:rsid w:val="00AB6218"/>
    <w:rsid w:val="00AB6CE8"/>
    <w:rsid w:val="00AC1562"/>
    <w:rsid w:val="00AC4616"/>
    <w:rsid w:val="00AC5572"/>
    <w:rsid w:val="00AD0250"/>
    <w:rsid w:val="00AD1014"/>
    <w:rsid w:val="00AD3AA5"/>
    <w:rsid w:val="00AD3B80"/>
    <w:rsid w:val="00AE03B6"/>
    <w:rsid w:val="00AE05F7"/>
    <w:rsid w:val="00AE3B17"/>
    <w:rsid w:val="00AF071A"/>
    <w:rsid w:val="00AF30EA"/>
    <w:rsid w:val="00AF3397"/>
    <w:rsid w:val="00AF4B71"/>
    <w:rsid w:val="00AF4ECE"/>
    <w:rsid w:val="00AF5A61"/>
    <w:rsid w:val="00B02726"/>
    <w:rsid w:val="00B059F1"/>
    <w:rsid w:val="00B0724F"/>
    <w:rsid w:val="00B07916"/>
    <w:rsid w:val="00B10995"/>
    <w:rsid w:val="00B124D7"/>
    <w:rsid w:val="00B13653"/>
    <w:rsid w:val="00B14627"/>
    <w:rsid w:val="00B14B38"/>
    <w:rsid w:val="00B14F2E"/>
    <w:rsid w:val="00B17A39"/>
    <w:rsid w:val="00B21033"/>
    <w:rsid w:val="00B21405"/>
    <w:rsid w:val="00B24464"/>
    <w:rsid w:val="00B2580A"/>
    <w:rsid w:val="00B32A95"/>
    <w:rsid w:val="00B3362A"/>
    <w:rsid w:val="00B371E0"/>
    <w:rsid w:val="00B40CDE"/>
    <w:rsid w:val="00B41EFA"/>
    <w:rsid w:val="00B43A5A"/>
    <w:rsid w:val="00B43D8B"/>
    <w:rsid w:val="00B456B1"/>
    <w:rsid w:val="00B52BCD"/>
    <w:rsid w:val="00B54A99"/>
    <w:rsid w:val="00B56B1F"/>
    <w:rsid w:val="00B61DCE"/>
    <w:rsid w:val="00B63965"/>
    <w:rsid w:val="00B66F7B"/>
    <w:rsid w:val="00B670FF"/>
    <w:rsid w:val="00B67BFD"/>
    <w:rsid w:val="00B718C9"/>
    <w:rsid w:val="00B71E23"/>
    <w:rsid w:val="00B733F8"/>
    <w:rsid w:val="00B73741"/>
    <w:rsid w:val="00B73D9C"/>
    <w:rsid w:val="00B73F04"/>
    <w:rsid w:val="00B74E0E"/>
    <w:rsid w:val="00B77C35"/>
    <w:rsid w:val="00B80AD4"/>
    <w:rsid w:val="00B828A0"/>
    <w:rsid w:val="00B84C8C"/>
    <w:rsid w:val="00B86B4E"/>
    <w:rsid w:val="00B909DA"/>
    <w:rsid w:val="00B92C29"/>
    <w:rsid w:val="00B92FAD"/>
    <w:rsid w:val="00B959F9"/>
    <w:rsid w:val="00BA13CF"/>
    <w:rsid w:val="00BA4145"/>
    <w:rsid w:val="00BB1557"/>
    <w:rsid w:val="00BB2B3F"/>
    <w:rsid w:val="00BB65B5"/>
    <w:rsid w:val="00BB68CA"/>
    <w:rsid w:val="00BB6B7B"/>
    <w:rsid w:val="00BB7D87"/>
    <w:rsid w:val="00BC0FD9"/>
    <w:rsid w:val="00BC4254"/>
    <w:rsid w:val="00BC42DD"/>
    <w:rsid w:val="00BC62D4"/>
    <w:rsid w:val="00BC6D30"/>
    <w:rsid w:val="00BC6FB8"/>
    <w:rsid w:val="00BD0CEA"/>
    <w:rsid w:val="00BD44F3"/>
    <w:rsid w:val="00BD7179"/>
    <w:rsid w:val="00BD7BDE"/>
    <w:rsid w:val="00BE14C7"/>
    <w:rsid w:val="00BE2ECA"/>
    <w:rsid w:val="00BE3C17"/>
    <w:rsid w:val="00BE6821"/>
    <w:rsid w:val="00BE6B90"/>
    <w:rsid w:val="00BF0475"/>
    <w:rsid w:val="00BF1A83"/>
    <w:rsid w:val="00BF264B"/>
    <w:rsid w:val="00BF3E98"/>
    <w:rsid w:val="00BF6AFD"/>
    <w:rsid w:val="00C01049"/>
    <w:rsid w:val="00C053C5"/>
    <w:rsid w:val="00C056C6"/>
    <w:rsid w:val="00C07F43"/>
    <w:rsid w:val="00C10236"/>
    <w:rsid w:val="00C11FA6"/>
    <w:rsid w:val="00C1280F"/>
    <w:rsid w:val="00C133BC"/>
    <w:rsid w:val="00C1346A"/>
    <w:rsid w:val="00C13680"/>
    <w:rsid w:val="00C13D86"/>
    <w:rsid w:val="00C21D28"/>
    <w:rsid w:val="00C22107"/>
    <w:rsid w:val="00C260FD"/>
    <w:rsid w:val="00C26983"/>
    <w:rsid w:val="00C27C90"/>
    <w:rsid w:val="00C328FA"/>
    <w:rsid w:val="00C33AF7"/>
    <w:rsid w:val="00C360A7"/>
    <w:rsid w:val="00C41D8D"/>
    <w:rsid w:val="00C427E5"/>
    <w:rsid w:val="00C44897"/>
    <w:rsid w:val="00C448B8"/>
    <w:rsid w:val="00C47F4F"/>
    <w:rsid w:val="00C52188"/>
    <w:rsid w:val="00C53297"/>
    <w:rsid w:val="00C53D8C"/>
    <w:rsid w:val="00C54088"/>
    <w:rsid w:val="00C5519C"/>
    <w:rsid w:val="00C5613F"/>
    <w:rsid w:val="00C63107"/>
    <w:rsid w:val="00C635E4"/>
    <w:rsid w:val="00C65D79"/>
    <w:rsid w:val="00C65EA3"/>
    <w:rsid w:val="00C7107C"/>
    <w:rsid w:val="00C74582"/>
    <w:rsid w:val="00C745D3"/>
    <w:rsid w:val="00C74DCF"/>
    <w:rsid w:val="00C76073"/>
    <w:rsid w:val="00C766DF"/>
    <w:rsid w:val="00C81E48"/>
    <w:rsid w:val="00C86E9E"/>
    <w:rsid w:val="00C87762"/>
    <w:rsid w:val="00C93044"/>
    <w:rsid w:val="00CA1888"/>
    <w:rsid w:val="00CA1CF9"/>
    <w:rsid w:val="00CA38BA"/>
    <w:rsid w:val="00CA7B81"/>
    <w:rsid w:val="00CA7DF2"/>
    <w:rsid w:val="00CB09EF"/>
    <w:rsid w:val="00CB0F73"/>
    <w:rsid w:val="00CB15FE"/>
    <w:rsid w:val="00CB591A"/>
    <w:rsid w:val="00CB7938"/>
    <w:rsid w:val="00CC045D"/>
    <w:rsid w:val="00CC0BC7"/>
    <w:rsid w:val="00CC27B0"/>
    <w:rsid w:val="00CC3E77"/>
    <w:rsid w:val="00CC68FF"/>
    <w:rsid w:val="00CC6E2A"/>
    <w:rsid w:val="00CD23BF"/>
    <w:rsid w:val="00CD2D47"/>
    <w:rsid w:val="00CE0659"/>
    <w:rsid w:val="00CF0ED3"/>
    <w:rsid w:val="00CF512D"/>
    <w:rsid w:val="00D0160A"/>
    <w:rsid w:val="00D01762"/>
    <w:rsid w:val="00D04AD3"/>
    <w:rsid w:val="00D059AC"/>
    <w:rsid w:val="00D0772B"/>
    <w:rsid w:val="00D07D34"/>
    <w:rsid w:val="00D11447"/>
    <w:rsid w:val="00D129DC"/>
    <w:rsid w:val="00D15FF4"/>
    <w:rsid w:val="00D170BA"/>
    <w:rsid w:val="00D304C0"/>
    <w:rsid w:val="00D307B3"/>
    <w:rsid w:val="00D35117"/>
    <w:rsid w:val="00D37283"/>
    <w:rsid w:val="00D40A2D"/>
    <w:rsid w:val="00D43663"/>
    <w:rsid w:val="00D43CCB"/>
    <w:rsid w:val="00D47625"/>
    <w:rsid w:val="00D50B70"/>
    <w:rsid w:val="00D5133B"/>
    <w:rsid w:val="00D525C4"/>
    <w:rsid w:val="00D54EE5"/>
    <w:rsid w:val="00D5697D"/>
    <w:rsid w:val="00D57523"/>
    <w:rsid w:val="00D60837"/>
    <w:rsid w:val="00D62E87"/>
    <w:rsid w:val="00D639CA"/>
    <w:rsid w:val="00D63C97"/>
    <w:rsid w:val="00D65312"/>
    <w:rsid w:val="00D656B5"/>
    <w:rsid w:val="00D67949"/>
    <w:rsid w:val="00D70102"/>
    <w:rsid w:val="00D71EE7"/>
    <w:rsid w:val="00D72FF6"/>
    <w:rsid w:val="00D74B6B"/>
    <w:rsid w:val="00D76C31"/>
    <w:rsid w:val="00D821B9"/>
    <w:rsid w:val="00D82349"/>
    <w:rsid w:val="00D835C0"/>
    <w:rsid w:val="00D836F3"/>
    <w:rsid w:val="00D84F39"/>
    <w:rsid w:val="00D8793B"/>
    <w:rsid w:val="00D9021D"/>
    <w:rsid w:val="00D9125B"/>
    <w:rsid w:val="00D95311"/>
    <w:rsid w:val="00D9562D"/>
    <w:rsid w:val="00D95EAF"/>
    <w:rsid w:val="00D96AC3"/>
    <w:rsid w:val="00DA1290"/>
    <w:rsid w:val="00DA3051"/>
    <w:rsid w:val="00DA359D"/>
    <w:rsid w:val="00DA5D4B"/>
    <w:rsid w:val="00DA5FBA"/>
    <w:rsid w:val="00DB2484"/>
    <w:rsid w:val="00DB59B2"/>
    <w:rsid w:val="00DC0290"/>
    <w:rsid w:val="00DC1798"/>
    <w:rsid w:val="00DC51E2"/>
    <w:rsid w:val="00DD06C6"/>
    <w:rsid w:val="00DD0E18"/>
    <w:rsid w:val="00DD2B06"/>
    <w:rsid w:val="00DD437B"/>
    <w:rsid w:val="00DD4777"/>
    <w:rsid w:val="00DD50A1"/>
    <w:rsid w:val="00DD743C"/>
    <w:rsid w:val="00DE2243"/>
    <w:rsid w:val="00DE2359"/>
    <w:rsid w:val="00DE732B"/>
    <w:rsid w:val="00DE7E8E"/>
    <w:rsid w:val="00DF071C"/>
    <w:rsid w:val="00DF3D58"/>
    <w:rsid w:val="00DF4602"/>
    <w:rsid w:val="00DF4830"/>
    <w:rsid w:val="00DF5A20"/>
    <w:rsid w:val="00DF6CFD"/>
    <w:rsid w:val="00E016AE"/>
    <w:rsid w:val="00E02DFB"/>
    <w:rsid w:val="00E05999"/>
    <w:rsid w:val="00E16456"/>
    <w:rsid w:val="00E17655"/>
    <w:rsid w:val="00E325BA"/>
    <w:rsid w:val="00E35273"/>
    <w:rsid w:val="00E365D0"/>
    <w:rsid w:val="00E36A3D"/>
    <w:rsid w:val="00E3760E"/>
    <w:rsid w:val="00E42043"/>
    <w:rsid w:val="00E43ED6"/>
    <w:rsid w:val="00E51759"/>
    <w:rsid w:val="00E54EEC"/>
    <w:rsid w:val="00E60290"/>
    <w:rsid w:val="00E6062D"/>
    <w:rsid w:val="00E60B36"/>
    <w:rsid w:val="00E614A7"/>
    <w:rsid w:val="00E63C4E"/>
    <w:rsid w:val="00E6602D"/>
    <w:rsid w:val="00E71E44"/>
    <w:rsid w:val="00E71F5F"/>
    <w:rsid w:val="00E73767"/>
    <w:rsid w:val="00E77EC1"/>
    <w:rsid w:val="00E80393"/>
    <w:rsid w:val="00E8216E"/>
    <w:rsid w:val="00E82531"/>
    <w:rsid w:val="00E82568"/>
    <w:rsid w:val="00E84562"/>
    <w:rsid w:val="00E85728"/>
    <w:rsid w:val="00E85F0F"/>
    <w:rsid w:val="00E87F9A"/>
    <w:rsid w:val="00E94E0F"/>
    <w:rsid w:val="00E95824"/>
    <w:rsid w:val="00EA1BDB"/>
    <w:rsid w:val="00EA2E59"/>
    <w:rsid w:val="00EA5230"/>
    <w:rsid w:val="00EA56E9"/>
    <w:rsid w:val="00EB04AE"/>
    <w:rsid w:val="00EB15F6"/>
    <w:rsid w:val="00EB189B"/>
    <w:rsid w:val="00EB275D"/>
    <w:rsid w:val="00EB68F9"/>
    <w:rsid w:val="00EC0288"/>
    <w:rsid w:val="00EC09A3"/>
    <w:rsid w:val="00EC0F54"/>
    <w:rsid w:val="00EC38D9"/>
    <w:rsid w:val="00EC4EE7"/>
    <w:rsid w:val="00EC5DA6"/>
    <w:rsid w:val="00ED0EBE"/>
    <w:rsid w:val="00ED1D95"/>
    <w:rsid w:val="00ED337A"/>
    <w:rsid w:val="00ED369A"/>
    <w:rsid w:val="00ED4C33"/>
    <w:rsid w:val="00ED6E2A"/>
    <w:rsid w:val="00EE2896"/>
    <w:rsid w:val="00EE518A"/>
    <w:rsid w:val="00EE7706"/>
    <w:rsid w:val="00EF04FA"/>
    <w:rsid w:val="00EF15BB"/>
    <w:rsid w:val="00EF59A4"/>
    <w:rsid w:val="00EF6859"/>
    <w:rsid w:val="00EF7BFA"/>
    <w:rsid w:val="00F00777"/>
    <w:rsid w:val="00F01A4C"/>
    <w:rsid w:val="00F01D80"/>
    <w:rsid w:val="00F03CAB"/>
    <w:rsid w:val="00F04C6D"/>
    <w:rsid w:val="00F06891"/>
    <w:rsid w:val="00F133C9"/>
    <w:rsid w:val="00F31C59"/>
    <w:rsid w:val="00F32A2C"/>
    <w:rsid w:val="00F344EE"/>
    <w:rsid w:val="00F34622"/>
    <w:rsid w:val="00F34AD8"/>
    <w:rsid w:val="00F40747"/>
    <w:rsid w:val="00F42A30"/>
    <w:rsid w:val="00F43FC9"/>
    <w:rsid w:val="00F44999"/>
    <w:rsid w:val="00F463CA"/>
    <w:rsid w:val="00F53DE6"/>
    <w:rsid w:val="00F54A4C"/>
    <w:rsid w:val="00F55CE6"/>
    <w:rsid w:val="00F611C4"/>
    <w:rsid w:val="00F63695"/>
    <w:rsid w:val="00F670FB"/>
    <w:rsid w:val="00F71DFE"/>
    <w:rsid w:val="00F72BB0"/>
    <w:rsid w:val="00F7402C"/>
    <w:rsid w:val="00F75CD5"/>
    <w:rsid w:val="00F768A2"/>
    <w:rsid w:val="00F77EBD"/>
    <w:rsid w:val="00F77FB8"/>
    <w:rsid w:val="00F82507"/>
    <w:rsid w:val="00F82E02"/>
    <w:rsid w:val="00F8372D"/>
    <w:rsid w:val="00F84BBB"/>
    <w:rsid w:val="00F94810"/>
    <w:rsid w:val="00FA01BD"/>
    <w:rsid w:val="00FA2285"/>
    <w:rsid w:val="00FB0C8C"/>
    <w:rsid w:val="00FB4520"/>
    <w:rsid w:val="00FB471A"/>
    <w:rsid w:val="00FB47BD"/>
    <w:rsid w:val="00FB48A5"/>
    <w:rsid w:val="00FB7F05"/>
    <w:rsid w:val="00FC1686"/>
    <w:rsid w:val="00FC2C92"/>
    <w:rsid w:val="00FC6510"/>
    <w:rsid w:val="00FD0E2C"/>
    <w:rsid w:val="00FD0FBC"/>
    <w:rsid w:val="00FD1766"/>
    <w:rsid w:val="00FD1FFF"/>
    <w:rsid w:val="00FD4B95"/>
    <w:rsid w:val="00FD634F"/>
    <w:rsid w:val="00FD789F"/>
    <w:rsid w:val="00FE0177"/>
    <w:rsid w:val="00FE05E1"/>
    <w:rsid w:val="00FE10BC"/>
    <w:rsid w:val="00FE294D"/>
    <w:rsid w:val="00FE3AEC"/>
    <w:rsid w:val="00FE471B"/>
    <w:rsid w:val="00FE6124"/>
    <w:rsid w:val="00FF09EC"/>
    <w:rsid w:val="00FF4290"/>
    <w:rsid w:val="00FF5AE5"/>
    <w:rsid w:val="010C4670"/>
    <w:rsid w:val="01264F45"/>
    <w:rsid w:val="016E6DF9"/>
    <w:rsid w:val="02B96468"/>
    <w:rsid w:val="042E253E"/>
    <w:rsid w:val="05481534"/>
    <w:rsid w:val="059430D4"/>
    <w:rsid w:val="05971F55"/>
    <w:rsid w:val="05A625A8"/>
    <w:rsid w:val="06494E14"/>
    <w:rsid w:val="06AA4A69"/>
    <w:rsid w:val="07CD6F4A"/>
    <w:rsid w:val="088D688F"/>
    <w:rsid w:val="0C7745F2"/>
    <w:rsid w:val="0C8F786D"/>
    <w:rsid w:val="0D470B14"/>
    <w:rsid w:val="0E5A493B"/>
    <w:rsid w:val="0F622D37"/>
    <w:rsid w:val="0FED4DAE"/>
    <w:rsid w:val="10131B42"/>
    <w:rsid w:val="11690686"/>
    <w:rsid w:val="118019A5"/>
    <w:rsid w:val="12761959"/>
    <w:rsid w:val="131C6818"/>
    <w:rsid w:val="1362018C"/>
    <w:rsid w:val="146455F0"/>
    <w:rsid w:val="14C47F43"/>
    <w:rsid w:val="14EB1E0B"/>
    <w:rsid w:val="164B279F"/>
    <w:rsid w:val="16A14DF1"/>
    <w:rsid w:val="16E17C76"/>
    <w:rsid w:val="180C01B6"/>
    <w:rsid w:val="1993062A"/>
    <w:rsid w:val="1A35105E"/>
    <w:rsid w:val="1A6F62EC"/>
    <w:rsid w:val="1A951519"/>
    <w:rsid w:val="1AC63CEC"/>
    <w:rsid w:val="1B0B53C0"/>
    <w:rsid w:val="1B127276"/>
    <w:rsid w:val="1C1439A1"/>
    <w:rsid w:val="1C2C086A"/>
    <w:rsid w:val="1C8B2130"/>
    <w:rsid w:val="1DAA00BE"/>
    <w:rsid w:val="1DB00010"/>
    <w:rsid w:val="1F9D31D1"/>
    <w:rsid w:val="20657105"/>
    <w:rsid w:val="20B45A86"/>
    <w:rsid w:val="20B56069"/>
    <w:rsid w:val="23510C33"/>
    <w:rsid w:val="25176E28"/>
    <w:rsid w:val="27715ADA"/>
    <w:rsid w:val="29D7573F"/>
    <w:rsid w:val="2A1A0CEB"/>
    <w:rsid w:val="2C232C29"/>
    <w:rsid w:val="2C580C9C"/>
    <w:rsid w:val="2DAB551C"/>
    <w:rsid w:val="3059283F"/>
    <w:rsid w:val="323147AB"/>
    <w:rsid w:val="33EC54B6"/>
    <w:rsid w:val="367F364B"/>
    <w:rsid w:val="39D91EBA"/>
    <w:rsid w:val="3A5617DC"/>
    <w:rsid w:val="3ED80049"/>
    <w:rsid w:val="3F2277AA"/>
    <w:rsid w:val="41211A3B"/>
    <w:rsid w:val="422238AB"/>
    <w:rsid w:val="450464A6"/>
    <w:rsid w:val="463F262E"/>
    <w:rsid w:val="46B574D6"/>
    <w:rsid w:val="46DA1AD6"/>
    <w:rsid w:val="49971F00"/>
    <w:rsid w:val="4A5E7F29"/>
    <w:rsid w:val="4BE900A0"/>
    <w:rsid w:val="4CD81BA8"/>
    <w:rsid w:val="4D2211D8"/>
    <w:rsid w:val="4D74430A"/>
    <w:rsid w:val="4E3150E2"/>
    <w:rsid w:val="4E3C18BE"/>
    <w:rsid w:val="4E641232"/>
    <w:rsid w:val="50136D4B"/>
    <w:rsid w:val="5028789C"/>
    <w:rsid w:val="51D87B8B"/>
    <w:rsid w:val="527F4826"/>
    <w:rsid w:val="5285489E"/>
    <w:rsid w:val="534439FE"/>
    <w:rsid w:val="544B47DD"/>
    <w:rsid w:val="55473CEB"/>
    <w:rsid w:val="56C836F9"/>
    <w:rsid w:val="57500440"/>
    <w:rsid w:val="57805D82"/>
    <w:rsid w:val="57BD4432"/>
    <w:rsid w:val="57FC5617"/>
    <w:rsid w:val="584D0E15"/>
    <w:rsid w:val="59E348B0"/>
    <w:rsid w:val="5AF12C14"/>
    <w:rsid w:val="5BA560F9"/>
    <w:rsid w:val="5CC8723F"/>
    <w:rsid w:val="5D170F36"/>
    <w:rsid w:val="5EB7064B"/>
    <w:rsid w:val="630737FB"/>
    <w:rsid w:val="63B73EB5"/>
    <w:rsid w:val="63BC0169"/>
    <w:rsid w:val="656340AC"/>
    <w:rsid w:val="68420089"/>
    <w:rsid w:val="686D3C35"/>
    <w:rsid w:val="6A242416"/>
    <w:rsid w:val="6ABB0142"/>
    <w:rsid w:val="6B1C0B53"/>
    <w:rsid w:val="6BDB359F"/>
    <w:rsid w:val="6C5B0FB7"/>
    <w:rsid w:val="6EBB120C"/>
    <w:rsid w:val="6F3A183D"/>
    <w:rsid w:val="6F7D7825"/>
    <w:rsid w:val="70444062"/>
    <w:rsid w:val="70F829D5"/>
    <w:rsid w:val="728D60FC"/>
    <w:rsid w:val="73634DF7"/>
    <w:rsid w:val="737F4F68"/>
    <w:rsid w:val="73992AC3"/>
    <w:rsid w:val="749241AF"/>
    <w:rsid w:val="75624C46"/>
    <w:rsid w:val="76004FCE"/>
    <w:rsid w:val="76A038F3"/>
    <w:rsid w:val="76A44BFD"/>
    <w:rsid w:val="7A344A7E"/>
    <w:rsid w:val="7B2014A6"/>
    <w:rsid w:val="7B866D9A"/>
    <w:rsid w:val="7DE607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F1F2A5A-D322-4429-BAFB-A3A480DA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widowControl w:val="0"/>
      <w:jc w:val="both"/>
    </w:pPr>
    <w:rPr>
      <w:rFonts w:ascii="Calibri" w:hAnsi="Calibri"/>
      <w:kern w:val="2"/>
      <w:sz w:val="21"/>
      <w:szCs w:val="22"/>
    </w:rPr>
  </w:style>
  <w:style w:type="paragraph" w:styleId="1">
    <w:name w:val="heading 1"/>
    <w:basedOn w:val="a6"/>
    <w:next w:val="a6"/>
    <w:link w:val="1Char"/>
    <w:qFormat/>
    <w:locked/>
    <w:pPr>
      <w:keepNext/>
      <w:keepLines/>
      <w:spacing w:before="340" w:after="330" w:line="578" w:lineRule="auto"/>
      <w:outlineLvl w:val="0"/>
    </w:pPr>
    <w:rPr>
      <w:b/>
      <w:bCs/>
      <w:kern w:val="44"/>
      <w:sz w:val="44"/>
      <w:szCs w:val="44"/>
    </w:rPr>
  </w:style>
  <w:style w:type="paragraph" w:styleId="2">
    <w:name w:val="heading 2"/>
    <w:basedOn w:val="a6"/>
    <w:link w:val="2Char"/>
    <w:uiPriority w:val="9"/>
    <w:qFormat/>
    <w:locked/>
    <w:pPr>
      <w:widowControl/>
      <w:spacing w:before="100" w:beforeAutospacing="1" w:after="100" w:afterAutospacing="1"/>
      <w:jc w:val="left"/>
      <w:outlineLvl w:val="1"/>
    </w:pPr>
    <w:rPr>
      <w:rFonts w:ascii="宋体" w:hAnsi="宋体" w:cs="宋体"/>
      <w:b/>
      <w:bCs/>
      <w:kern w:val="0"/>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Date"/>
    <w:basedOn w:val="a6"/>
    <w:next w:val="a6"/>
    <w:link w:val="Char"/>
    <w:uiPriority w:val="99"/>
    <w:semiHidden/>
    <w:qFormat/>
    <w:pPr>
      <w:ind w:leftChars="2500" w:left="100"/>
    </w:pPr>
  </w:style>
  <w:style w:type="paragraph" w:styleId="ab">
    <w:name w:val="Balloon Text"/>
    <w:basedOn w:val="a6"/>
    <w:link w:val="Char0"/>
    <w:uiPriority w:val="99"/>
    <w:semiHidden/>
    <w:qFormat/>
    <w:rPr>
      <w:kern w:val="0"/>
      <w:sz w:val="18"/>
      <w:szCs w:val="18"/>
    </w:rPr>
  </w:style>
  <w:style w:type="paragraph" w:styleId="ac">
    <w:name w:val="footer"/>
    <w:basedOn w:val="a6"/>
    <w:link w:val="Char1"/>
    <w:uiPriority w:val="99"/>
    <w:qFormat/>
    <w:pPr>
      <w:tabs>
        <w:tab w:val="center" w:pos="4153"/>
        <w:tab w:val="right" w:pos="8306"/>
      </w:tabs>
      <w:snapToGrid w:val="0"/>
      <w:jc w:val="left"/>
    </w:pPr>
    <w:rPr>
      <w:kern w:val="0"/>
      <w:sz w:val="18"/>
      <w:szCs w:val="18"/>
    </w:rPr>
  </w:style>
  <w:style w:type="paragraph" w:styleId="ad">
    <w:name w:val="header"/>
    <w:basedOn w:val="a6"/>
    <w:link w:val="Char2"/>
    <w:uiPriority w:val="99"/>
    <w:qFormat/>
    <w:pPr>
      <w:pBdr>
        <w:bottom w:val="single" w:sz="6" w:space="1" w:color="auto"/>
      </w:pBdr>
      <w:tabs>
        <w:tab w:val="center" w:pos="4153"/>
        <w:tab w:val="right" w:pos="8306"/>
      </w:tabs>
      <w:snapToGrid w:val="0"/>
      <w:jc w:val="center"/>
    </w:pPr>
    <w:rPr>
      <w:kern w:val="0"/>
      <w:sz w:val="18"/>
      <w:szCs w:val="18"/>
    </w:rPr>
  </w:style>
  <w:style w:type="table" w:styleId="ae">
    <w:name w:val="Table Grid"/>
    <w:basedOn w:val="a8"/>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Strong"/>
    <w:basedOn w:val="a7"/>
    <w:qFormat/>
    <w:locked/>
    <w:rPr>
      <w:b/>
    </w:rPr>
  </w:style>
  <w:style w:type="character" w:styleId="af0">
    <w:name w:val="Hyperlink"/>
    <w:basedOn w:val="a7"/>
    <w:uiPriority w:val="99"/>
    <w:semiHidden/>
    <w:unhideWhenUsed/>
    <w:qFormat/>
    <w:rPr>
      <w:color w:val="0000FF"/>
      <w:u w:val="single"/>
    </w:rPr>
  </w:style>
  <w:style w:type="character" w:customStyle="1" w:styleId="Char2">
    <w:name w:val="页眉 Char"/>
    <w:link w:val="ad"/>
    <w:uiPriority w:val="99"/>
    <w:qFormat/>
    <w:locked/>
    <w:rPr>
      <w:sz w:val="18"/>
    </w:rPr>
  </w:style>
  <w:style w:type="character" w:customStyle="1" w:styleId="Char1">
    <w:name w:val="页脚 Char"/>
    <w:link w:val="ac"/>
    <w:uiPriority w:val="99"/>
    <w:qFormat/>
    <w:locked/>
    <w:rPr>
      <w:sz w:val="18"/>
    </w:rPr>
  </w:style>
  <w:style w:type="paragraph" w:styleId="af1">
    <w:name w:val="List Paragraph"/>
    <w:basedOn w:val="a6"/>
    <w:uiPriority w:val="99"/>
    <w:qFormat/>
    <w:pPr>
      <w:ind w:firstLineChars="200" w:firstLine="420"/>
    </w:pPr>
  </w:style>
  <w:style w:type="paragraph" w:customStyle="1" w:styleId="af2">
    <w:name w:val="段"/>
    <w:link w:val="Char3"/>
    <w:uiPriority w:val="99"/>
    <w:qFormat/>
    <w:pPr>
      <w:tabs>
        <w:tab w:val="center" w:pos="4201"/>
        <w:tab w:val="right" w:leader="dot" w:pos="9298"/>
      </w:tabs>
      <w:autoSpaceDE w:val="0"/>
      <w:autoSpaceDN w:val="0"/>
      <w:ind w:firstLineChars="200" w:firstLine="420"/>
      <w:jc w:val="both"/>
    </w:pPr>
    <w:rPr>
      <w:rFonts w:ascii="宋体"/>
      <w:sz w:val="21"/>
    </w:rPr>
  </w:style>
  <w:style w:type="character" w:customStyle="1" w:styleId="Char3">
    <w:name w:val="段 Char"/>
    <w:link w:val="af2"/>
    <w:uiPriority w:val="99"/>
    <w:qFormat/>
    <w:locked/>
    <w:rPr>
      <w:rFonts w:ascii="宋体" w:hAnsi="Times New Roman"/>
      <w:sz w:val="21"/>
      <w:lang w:val="en-US" w:eastAsia="zh-CN"/>
    </w:rPr>
  </w:style>
  <w:style w:type="paragraph" w:customStyle="1" w:styleId="a0">
    <w:name w:val="一级条标题"/>
    <w:next w:val="af2"/>
    <w:uiPriority w:val="99"/>
    <w:qFormat/>
    <w:pPr>
      <w:numPr>
        <w:ilvl w:val="1"/>
        <w:numId w:val="1"/>
      </w:numPr>
      <w:spacing w:beforeLines="50" w:afterLines="50"/>
      <w:outlineLvl w:val="2"/>
    </w:pPr>
    <w:rPr>
      <w:rFonts w:ascii="黑体" w:eastAsia="黑体"/>
      <w:sz w:val="21"/>
      <w:szCs w:val="21"/>
    </w:rPr>
  </w:style>
  <w:style w:type="paragraph" w:customStyle="1" w:styleId="a">
    <w:name w:val="章标题"/>
    <w:next w:val="af2"/>
    <w:uiPriority w:val="99"/>
    <w:qFormat/>
    <w:pPr>
      <w:numPr>
        <w:numId w:val="1"/>
      </w:numPr>
      <w:spacing w:beforeLines="100" w:afterLines="100"/>
      <w:jc w:val="both"/>
      <w:outlineLvl w:val="1"/>
    </w:pPr>
    <w:rPr>
      <w:rFonts w:ascii="黑体" w:eastAsia="黑体"/>
      <w:sz w:val="21"/>
    </w:rPr>
  </w:style>
  <w:style w:type="paragraph" w:customStyle="1" w:styleId="a1">
    <w:name w:val="二级条标题"/>
    <w:basedOn w:val="a0"/>
    <w:next w:val="af2"/>
    <w:uiPriority w:val="99"/>
    <w:qFormat/>
    <w:pPr>
      <w:numPr>
        <w:ilvl w:val="2"/>
      </w:numPr>
      <w:spacing w:before="50" w:after="50"/>
      <w:outlineLvl w:val="3"/>
    </w:pPr>
  </w:style>
  <w:style w:type="paragraph" w:customStyle="1" w:styleId="a3">
    <w:name w:val="四级条标题"/>
    <w:basedOn w:val="a6"/>
    <w:next w:val="af2"/>
    <w:uiPriority w:val="99"/>
    <w:qFormat/>
    <w:pPr>
      <w:widowControl/>
      <w:numPr>
        <w:ilvl w:val="4"/>
        <w:numId w:val="1"/>
      </w:numPr>
      <w:spacing w:beforeLines="50" w:afterLines="50"/>
      <w:jc w:val="left"/>
      <w:outlineLvl w:val="5"/>
    </w:pPr>
    <w:rPr>
      <w:rFonts w:ascii="黑体" w:eastAsia="黑体" w:hAnsi="Times New Roman"/>
      <w:kern w:val="0"/>
      <w:szCs w:val="21"/>
    </w:rPr>
  </w:style>
  <w:style w:type="paragraph" w:customStyle="1" w:styleId="a4">
    <w:name w:val="五级条标题"/>
    <w:basedOn w:val="a3"/>
    <w:next w:val="af2"/>
    <w:uiPriority w:val="99"/>
    <w:qFormat/>
    <w:pPr>
      <w:numPr>
        <w:ilvl w:val="5"/>
      </w:numPr>
      <w:outlineLvl w:val="6"/>
    </w:pPr>
  </w:style>
  <w:style w:type="character" w:customStyle="1" w:styleId="Char0">
    <w:name w:val="批注框文本 Char"/>
    <w:link w:val="ab"/>
    <w:uiPriority w:val="99"/>
    <w:semiHidden/>
    <w:qFormat/>
    <w:locked/>
    <w:rPr>
      <w:sz w:val="18"/>
    </w:rPr>
  </w:style>
  <w:style w:type="character" w:customStyle="1" w:styleId="Char">
    <w:name w:val="日期 Char"/>
    <w:link w:val="aa"/>
    <w:uiPriority w:val="99"/>
    <w:semiHidden/>
    <w:qFormat/>
    <w:locked/>
    <w:rPr>
      <w:rFonts w:cs="Times New Roman"/>
    </w:rPr>
  </w:style>
  <w:style w:type="character" w:customStyle="1" w:styleId="2Char">
    <w:name w:val="标题 2 Char"/>
    <w:basedOn w:val="a7"/>
    <w:link w:val="2"/>
    <w:uiPriority w:val="9"/>
    <w:qFormat/>
    <w:rPr>
      <w:rFonts w:ascii="宋体" w:hAnsi="宋体" w:cs="宋体"/>
      <w:b/>
      <w:bCs/>
      <w:sz w:val="36"/>
      <w:szCs w:val="36"/>
    </w:rPr>
  </w:style>
  <w:style w:type="character" w:customStyle="1" w:styleId="1Char">
    <w:name w:val="标题 1 Char"/>
    <w:basedOn w:val="a7"/>
    <w:link w:val="1"/>
    <w:qFormat/>
    <w:rPr>
      <w:b/>
      <w:bCs/>
      <w:kern w:val="44"/>
      <w:sz w:val="44"/>
      <w:szCs w:val="44"/>
    </w:rPr>
  </w:style>
  <w:style w:type="paragraph" w:customStyle="1" w:styleId="a2">
    <w:name w:val="三级条标题"/>
    <w:basedOn w:val="a1"/>
    <w:next w:val="af2"/>
    <w:qFormat/>
    <w:pPr>
      <w:numPr>
        <w:ilvl w:val="3"/>
      </w:numPr>
      <w:outlineLvl w:val="4"/>
    </w:pPr>
  </w:style>
  <w:style w:type="paragraph" w:customStyle="1" w:styleId="af3">
    <w:name w:val="正文公式编号制表符"/>
    <w:basedOn w:val="af2"/>
    <w:next w:val="af2"/>
    <w:qFormat/>
    <w:pPr>
      <w:ind w:firstLineChars="0" w:firstLine="0"/>
    </w:pPr>
  </w:style>
  <w:style w:type="paragraph" w:customStyle="1" w:styleId="a5">
    <w:name w:val="列项——（一级）"/>
    <w:uiPriority w:val="99"/>
    <w:qFormat/>
    <w:pPr>
      <w:widowControl w:val="0"/>
      <w:numPr>
        <w:numId w:val="2"/>
      </w:numPr>
      <w:ind w:left="833"/>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B641F-D489-4A88-A421-CDDF9D1A6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2208</Words>
  <Characters>12588</Characters>
  <Application>Microsoft Office Word</Application>
  <DocSecurity>0</DocSecurity>
  <Lines>104</Lines>
  <Paragraphs>29</Paragraphs>
  <ScaleCrop>false</ScaleCrop>
  <Company>Microsoft</Company>
  <LinksUpToDate>false</LinksUpToDate>
  <CharactersWithSpaces>14767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任青考</cp:lastModifiedBy>
  <cp:revision>14</cp:revision>
  <cp:lastPrinted>2018-09-03T07:39:00Z</cp:lastPrinted>
  <dcterms:created xsi:type="dcterms:W3CDTF">2019-09-27T08:47:00Z</dcterms:created>
  <dcterms:modified xsi:type="dcterms:W3CDTF">2025-05-30T01:23:00Z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01A1FC0CEC9A4F8D8E4001AD4FCFA342_13</vt:lpwstr>
  </property>
  <property fmtid="{D5CDD505-2E9C-101B-9397-08002B2CF9AE}" pid="4" name="KSOTemplateDocerSaveRecord">
    <vt:lpwstr>eyJoZGlkIjoiZjg1ZDNjY2JmYWExM2FhZTljZDM2OWQwODFkYWY0YmQiLCJ1c2VySWQiOiIzNjU5NDA5MjcifQ==</vt:lpwstr>
  </property>
</Properties>
</file>